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tabs>
          <w:tab w:leader="none" w:pos="1134" w:val="left"/>
        </w:tabs>
        <w:ind w:firstLine="5387" w:left="0"/>
        <w:jc w:val="center"/>
        <w:rPr>
          <w:rFonts w:ascii="Times New Roman" w:hAnsi="Times New Roman"/>
        </w:rPr>
      </w:pPr>
      <w:bookmarkStart w:id="1" w:name="sub_56"/>
      <w:r>
        <w:rPr>
          <w:rFonts w:ascii="Times New Roman" w:hAnsi="Times New Roman"/>
        </w:rPr>
        <w:t>Приложение № 1</w:t>
      </w:r>
    </w:p>
    <w:p w14:paraId="03000000">
      <w:pPr>
        <w:widowControl w:val="1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 решению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Совета народных депутатов Крапивинского </w:t>
      </w:r>
      <w:r>
        <w:rPr>
          <w:rFonts w:ascii="Times New Roman" w:hAnsi="Times New Roman"/>
        </w:rPr>
        <w:t>муниципального округа</w:t>
      </w:r>
    </w:p>
    <w:p w14:paraId="04000000">
      <w:pPr>
        <w:widowControl w:val="1"/>
        <w:ind w:left="538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28.09.2026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/>
        </w:rPr>
        <w:t>157</w:t>
      </w:r>
    </w:p>
    <w:p w14:paraId="05000000">
      <w:pPr>
        <w:widowControl w:val="1"/>
        <w:ind w:firstLine="567"/>
        <w:jc w:val="center"/>
        <w:rPr>
          <w:rFonts w:ascii="Times New Roman" w:hAnsi="Times New Roman"/>
          <w:sz w:val="28"/>
        </w:rPr>
      </w:pPr>
    </w:p>
    <w:p w14:paraId="06000000">
      <w:pPr>
        <w:widowControl w:val="1"/>
        <w:ind w:left="567" w:right="565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Тарифы</w:t>
      </w:r>
      <w:r>
        <w:rPr>
          <w:rFonts w:ascii="Times New Roman" w:hAnsi="Times New Roman"/>
          <w:sz w:val="28"/>
        </w:rPr>
        <w:t xml:space="preserve"> на</w:t>
      </w:r>
      <w:r>
        <w:rPr>
          <w:rFonts w:ascii="Times New Roman" w:hAnsi="Times New Roman"/>
          <w:sz w:val="28"/>
        </w:rPr>
        <w:t xml:space="preserve"> платные</w:t>
      </w:r>
      <w:r>
        <w:rPr>
          <w:rFonts w:ascii="Times New Roman" w:hAnsi="Times New Roman"/>
          <w:sz w:val="28"/>
        </w:rPr>
        <w:t xml:space="preserve"> услуги</w:t>
      </w:r>
      <w:r>
        <w:rPr>
          <w:rFonts w:ascii="Times New Roman" w:hAnsi="Times New Roman"/>
          <w:sz w:val="28"/>
        </w:rPr>
        <w:t xml:space="preserve"> </w:t>
      </w:r>
    </w:p>
    <w:p w14:paraId="07000000">
      <w:pPr>
        <w:widowControl w:val="1"/>
        <w:ind w:left="851" w:right="84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муниципальн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бюджетн</w:t>
      </w:r>
      <w:r>
        <w:rPr>
          <w:rFonts w:ascii="Times New Roman" w:hAnsi="Times New Roman"/>
          <w:sz w:val="28"/>
        </w:rPr>
        <w:t>ого</w:t>
      </w:r>
      <w:r>
        <w:rPr>
          <w:rFonts w:ascii="Times New Roman" w:hAnsi="Times New Roman"/>
          <w:sz w:val="28"/>
        </w:rPr>
        <w:t xml:space="preserve"> учреждени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культуры </w:t>
      </w:r>
    </w:p>
    <w:p w14:paraId="08000000">
      <w:pPr>
        <w:widowControl w:val="1"/>
        <w:ind w:left="851" w:right="848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Крапивинская централизованная библиотечная система</w:t>
      </w:r>
      <w:r>
        <w:rPr>
          <w:rFonts w:ascii="Times New Roman" w:hAnsi="Times New Roman"/>
          <w:sz w:val="28"/>
        </w:rPr>
        <w:t>»</w:t>
      </w:r>
    </w:p>
    <w:p w14:paraId="09000000">
      <w:pPr>
        <w:rPr>
          <w:rFonts w:ascii="Times New Roman" w:hAnsi="Times New Roman"/>
          <w:sz w:val="28"/>
        </w:rPr>
      </w:pPr>
      <w:bookmarkEnd w:id="1"/>
    </w:p>
    <w:tbl>
      <w:tblPr>
        <w:tblStyle w:val="Style_3"/>
        <w:tblW w:type="auto" w:w="0"/>
        <w:jc w:val="center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8"/>
        <w:gridCol w:w="5504"/>
        <w:gridCol w:w="1735"/>
        <w:gridCol w:w="1424"/>
      </w:tblGrid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B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Наименование и вид услуг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C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Единица измерения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0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Сумма, рублей</w:t>
            </w:r>
          </w:p>
        </w:tc>
      </w:tr>
      <w:tr>
        <w:trPr>
          <w:trHeight w:hRule="atLeast" w:val="422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1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0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Услуги, связанные с копированием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Ксерокопирование документов:</w:t>
            </w:r>
          </w:p>
          <w:p w14:paraId="12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А4;</w:t>
            </w:r>
          </w:p>
          <w:p w14:paraId="13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А3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прогон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1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</w:t>
            </w:r>
          </w:p>
          <w:p w14:paraId="1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9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Распечатка на принтере черно-белая печать:</w:t>
            </w:r>
          </w:p>
          <w:p w14:paraId="1A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А4;</w:t>
            </w:r>
          </w:p>
          <w:p w14:paraId="1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формат А3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1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1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15,00</w:t>
            </w:r>
          </w:p>
          <w:p w14:paraId="1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rPr>
          <w:trHeight w:hRule="atLeast" w:val="1000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Распечатка на принтере (цветной формат):</w:t>
            </w:r>
          </w:p>
          <w:p w14:paraId="22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иллюстрация А4 заливка 25%;</w:t>
            </w:r>
          </w:p>
          <w:p w14:paraId="23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текст А4 заливка 5%;</w:t>
            </w:r>
          </w:p>
          <w:p w14:paraId="2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иллюстрация А4 заливка 50%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6000000">
            <w:pPr>
              <w:widowControl w:val="1"/>
              <w:ind/>
              <w:rPr>
                <w:rFonts w:ascii="Times New Roman" w:hAnsi="Times New Roman"/>
              </w:rPr>
            </w:pPr>
          </w:p>
          <w:p w14:paraId="2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  <w:p w14:paraId="2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35,00</w:t>
            </w:r>
          </w:p>
          <w:p w14:paraId="2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Сканирование документа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2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Информационные, справочно-консультационные услуги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Поиск информации в электронных ресурсах и в информационно-телекоммуникационной сети «Интернет»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и редактирование библиографического списка литературы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библио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графическое описание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3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Сервисные услуги, связанные с основной деятельностью библиотеки </w:t>
            </w:r>
          </w:p>
        </w:tc>
      </w:tr>
      <w:tr>
        <w:trPr>
          <w:trHeight w:hRule="atLeast" w:val="985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рабочего места с доступом в информационно-телекоммуникационную сеть «Интернет»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мин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</w:t>
            </w:r>
          </w:p>
        </w:tc>
      </w:tr>
      <w:tr>
        <w:trPr>
          <w:trHeight w:hRule="atLeast" w:val="783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Приём и отправка сообщений по электронной почте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сообщение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85,00</w:t>
            </w:r>
          </w:p>
        </w:tc>
      </w:tr>
      <w:tr>
        <w:trPr>
          <w:trHeight w:hRule="atLeast" w:val="985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3.3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3000000">
            <w:pPr>
              <w:widowControl w:val="1"/>
              <w:ind/>
              <w:jc w:val="both"/>
              <w:rPr>
                <w:rFonts w:ascii="Times New Roman" w:hAnsi="Times New Roman"/>
                <w:strike w:val="1"/>
              </w:rPr>
            </w:pPr>
            <w:r>
              <w:rPr>
                <w:rFonts w:ascii="Times New Roman" w:hAnsi="Times New Roman"/>
              </w:rPr>
              <w:t>Запись информации на электронный носитель заказчика:</w:t>
            </w:r>
          </w:p>
          <w:p w14:paraId="4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 1 до 30 Мб;</w:t>
            </w:r>
          </w:p>
          <w:p w14:paraId="45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 30до 100 Мб;</w:t>
            </w:r>
          </w:p>
          <w:p w14:paraId="46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от 100 до 700 Мб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4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4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40,00</w:t>
            </w:r>
          </w:p>
          <w:p w14:paraId="4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70,00</w:t>
            </w:r>
          </w:p>
          <w:p w14:paraId="4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110,00</w:t>
            </w:r>
          </w:p>
        </w:tc>
      </w:tr>
      <w:tr>
        <w:trPr>
          <w:trHeight w:hRule="atLeast" w:val="557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3.4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widowControl w:val="1"/>
              <w:spacing w:line="288" w:lineRule="atLeast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Набор текста на компьютере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130,00</w:t>
            </w:r>
          </w:p>
        </w:tc>
      </w:tr>
      <w:tr>
        <w:trPr>
          <w:trHeight w:hRule="atLeast" w:val="698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Консультации </w:t>
            </w:r>
            <w:r>
              <w:rPr>
                <w:rFonts w:ascii="Times New Roman" w:hAnsi="Times New Roman"/>
              </w:rPr>
              <w:t>по работе на компьютере, по поиску в правовых и иных электронных базах данных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</w:tr>
      <w:tr>
        <w:trPr>
          <w:trHeight w:hRule="atLeast" w:val="694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3.6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Консультирование по заполнению документов на порталах различных организаций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 мин.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250,00</w:t>
            </w:r>
          </w:p>
        </w:tc>
      </w:tr>
      <w:tr>
        <w:trPr>
          <w:trHeight w:hRule="atLeast" w:val="1267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3.7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Создание электронных продуктов (слайд-презентация к докладам, мероприятиям): </w:t>
            </w:r>
          </w:p>
          <w:p w14:paraId="5B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простая презентация (набор слайдов без звукового сопровождения и эффектов анимации);</w:t>
            </w:r>
          </w:p>
          <w:p w14:paraId="5C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сложная презентация, (с наличием эффектов, анимации, звука)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слайд</w:t>
            </w:r>
          </w:p>
          <w:p w14:paraId="5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85,00</w:t>
            </w:r>
          </w:p>
          <w:p w14:paraId="6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125,00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5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4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6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Услуги по организации и проведению мероприятий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8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информационно-просветительских мероприятий:</w:t>
            </w:r>
          </w:p>
          <w:p w14:paraId="69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детей до 14 лет;</w:t>
            </w:r>
          </w:p>
          <w:p w14:paraId="6A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подростков и молодёжи на территории организатора;</w:t>
            </w:r>
          </w:p>
          <w:p w14:paraId="6B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для подростков и молодёжи выездное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6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чел.</w:t>
            </w:r>
          </w:p>
          <w:p w14:paraId="6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чел.</w:t>
            </w:r>
          </w:p>
          <w:p w14:paraId="7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чел.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  <w:p w14:paraId="7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300,00</w:t>
            </w:r>
          </w:p>
          <w:p w14:paraId="77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9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Мастер – класс:</w:t>
            </w:r>
          </w:p>
          <w:p w14:paraId="7A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групповое занятие (без учёта стоимости расходных материалов);</w:t>
            </w:r>
          </w:p>
          <w:p w14:paraId="7B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индивидуальное занятие (без учёта стоимости расходных материалов)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человек/час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7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7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  <w:r>
              <w:rPr>
                <w:rFonts w:ascii="Times New Roman" w:hAnsi="Times New Roman"/>
              </w:rPr>
              <w:t>,00</w:t>
            </w:r>
          </w:p>
          <w:p w14:paraId="8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8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3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мероприятий по заявкам физических и юридических лиц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мероприятие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договорная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7000000">
            <w:pPr>
              <w:widowControl w:val="1"/>
              <w:spacing w:line="288" w:lineRule="atLeast"/>
              <w:ind/>
              <w:jc w:val="both"/>
              <w:rPr>
                <w:rFonts w:ascii="Times New Roman" w:hAnsi="Times New Roman"/>
                <w:color w:val="FF0000"/>
              </w:rPr>
            </w:pPr>
            <w:r>
              <w:rPr>
                <w:rFonts w:ascii="Times New Roman" w:hAnsi="Times New Roman"/>
              </w:rPr>
              <w:t>Разработка сценариев, создание художественных программ (массовых праздников, торжественных мероприятий, литературно - музыкальных салонов и др.) по заявкам физических и юридических лиц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страница</w:t>
            </w:r>
          </w:p>
          <w:p w14:paraId="8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(шрифт </w:t>
            </w:r>
            <w:r>
              <w:rPr>
                <w:rFonts w:ascii="Times New Roman" w:hAnsi="Times New Roman"/>
              </w:rPr>
              <w:t>TIMES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New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ROMAN</w:t>
            </w:r>
            <w:r>
              <w:rPr>
                <w:rFonts w:ascii="Times New Roman" w:hAnsi="Times New Roman"/>
              </w:rPr>
              <w:t>,14, интервал 1,5)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5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Реставрационные услуги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8E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Переплёт документов пластиковой пружиной, брошюрование:</w:t>
            </w:r>
          </w:p>
          <w:p w14:paraId="8F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до 30 листов;</w:t>
            </w:r>
          </w:p>
          <w:p w14:paraId="90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свыше 30 листов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переплёт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9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</w:p>
          <w:p w14:paraId="94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110,00</w:t>
            </w:r>
          </w:p>
          <w:p w14:paraId="95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6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7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Ламинирование документов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8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лист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9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50,00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A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8663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B000000">
            <w:pPr>
              <w:widowControl w:val="1"/>
              <w:ind w:right="-100"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Р</w:t>
            </w:r>
            <w:r>
              <w:rPr>
                <w:rFonts w:ascii="Times New Roman" w:hAnsi="Times New Roman"/>
                <w:b w:val="1"/>
              </w:rPr>
              <w:t>екламны</w:t>
            </w:r>
            <w:r>
              <w:rPr>
                <w:rFonts w:ascii="Times New Roman" w:hAnsi="Times New Roman"/>
                <w:b w:val="1"/>
              </w:rPr>
              <w:t>е</w:t>
            </w:r>
            <w:r>
              <w:rPr>
                <w:rFonts w:ascii="Times New Roman" w:hAnsi="Times New Roman"/>
                <w:b w:val="1"/>
              </w:rPr>
              <w:t xml:space="preserve"> услуг</w:t>
            </w:r>
            <w:r>
              <w:rPr>
                <w:rFonts w:ascii="Times New Roman" w:hAnsi="Times New Roman"/>
                <w:b w:val="1"/>
              </w:rPr>
              <w:t>и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C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D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Размещение рекламных продуктов в помещении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продукт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9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60,00/в день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0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</w:t>
            </w:r>
          </w:p>
        </w:tc>
        <w:tc>
          <w:tcPr>
            <w:tcW w:type="dxa" w:w="550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1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Фото-, кино-, видеосъёмка в стенах учреждений</w:t>
            </w:r>
          </w:p>
        </w:tc>
        <w:tc>
          <w:tcPr>
            <w:tcW w:type="dxa" w:w="17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</w:t>
            </w:r>
          </w:p>
        </w:tc>
        <w:tc>
          <w:tcPr>
            <w:tcW w:type="dxa" w:w="14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A3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120,00</w:t>
            </w:r>
          </w:p>
        </w:tc>
      </w:tr>
    </w:tbl>
    <w:p w14:paraId="A4000000">
      <w:pPr>
        <w:rPr>
          <w:rFonts w:ascii="Times New Roman" w:hAnsi="Times New Roman"/>
          <w:sz w:val="28"/>
        </w:rPr>
      </w:pPr>
    </w:p>
    <w:p w14:paraId="A5000000">
      <w:pPr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Перечень компенсационных материальных затрат (расходов)</w:t>
      </w:r>
    </w:p>
    <w:p w14:paraId="A6000000">
      <w:pPr>
        <w:widowControl w:val="1"/>
        <w:ind/>
        <w:jc w:val="center"/>
        <w:rPr>
          <w:rFonts w:ascii="Times New Roman" w:hAnsi="Times New Roman"/>
          <w:b w:val="1"/>
        </w:rPr>
      </w:pPr>
    </w:p>
    <w:tbl>
      <w:tblPr>
        <w:tblStyle w:val="Style_3"/>
        <w:tblW w:type="auto" w:w="0"/>
        <w:jc w:val="center"/>
        <w:tblInd w:type="dxa" w:w="-176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58"/>
        <w:gridCol w:w="4475"/>
        <w:gridCol w:w="1588"/>
        <w:gridCol w:w="2478"/>
      </w:tblGrid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7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№</w:t>
            </w:r>
          </w:p>
        </w:tc>
        <w:tc>
          <w:tcPr>
            <w:tcW w:type="dxa" w:w="4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8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Компенсационные расходы</w:t>
            </w:r>
          </w:p>
        </w:tc>
        <w:tc>
          <w:tcPr>
            <w:tcW w:type="dxa" w:w="1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9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Единица измерения</w:t>
            </w:r>
          </w:p>
        </w:tc>
        <w:tc>
          <w:tcPr>
            <w:tcW w:type="dxa" w:w="2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AA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Сумма, рублей</w:t>
            </w:r>
          </w:p>
        </w:tc>
      </w:tr>
      <w:t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B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4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C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Пени за пользование документов библиотечного фонда сверх установленного срока</w:t>
            </w:r>
          </w:p>
        </w:tc>
        <w:tc>
          <w:tcPr>
            <w:tcW w:type="dxa" w:w="1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D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документ/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сутки</w:t>
            </w:r>
          </w:p>
        </w:tc>
        <w:tc>
          <w:tcPr>
            <w:tcW w:type="dxa" w:w="2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20,00</w:t>
            </w:r>
          </w:p>
        </w:tc>
      </w:tr>
      <w:tr>
        <w:trPr>
          <w:trHeight w:hRule="atLeast" w:val="643"/>
        </w:trPr>
        <w:tc>
          <w:tcPr>
            <w:tcW w:type="dxa" w:w="55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A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447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0000000">
            <w:pPr>
              <w:widowControl w:val="1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 утерю или п</w:t>
            </w:r>
            <w:r>
              <w:rPr>
                <w:rFonts w:ascii="Times New Roman" w:hAnsi="Times New Roman"/>
              </w:rPr>
              <w:t>орч</w:t>
            </w:r>
            <w:r>
              <w:rPr>
                <w:rFonts w:ascii="Times New Roman" w:hAnsi="Times New Roman"/>
              </w:rPr>
              <w:t>у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документов библиотечного фонда </w:t>
            </w:r>
          </w:p>
        </w:tc>
        <w:tc>
          <w:tcPr>
            <w:tcW w:type="dxa" w:w="158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1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документ</w:t>
            </w:r>
          </w:p>
        </w:tc>
        <w:tc>
          <w:tcPr>
            <w:tcW w:type="dxa" w:w="247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B2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рыночная стоимость документов библиотечного фонда</w:t>
            </w:r>
          </w:p>
        </w:tc>
      </w:tr>
    </w:tbl>
    <w:p w14:paraId="B3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4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5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6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7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8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9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A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p w14:paraId="BB000000">
      <w:pPr>
        <w:widowControl w:val="1"/>
        <w:ind/>
        <w:jc w:val="right"/>
        <w:outlineLvl w:val="0"/>
        <w:rPr>
          <w:rFonts w:ascii="Times New Roman" w:hAnsi="Times New Roman"/>
          <w:sz w:val="20"/>
        </w:rPr>
      </w:pPr>
    </w:p>
    <w:tbl>
      <w:tblPr>
        <w:tblStyle w:val="Style_3"/>
        <w:tblpPr w:bottomFromText="0" w:horzAnchor="margin" w:leftFromText="180" w:rightFromText="180" w:tblpXSpec="center" w:tblpY="118" w:topFromText="0" w:vertAnchor="text"/>
        <w:tblW w:type="auto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522"/>
        <w:gridCol w:w="7383"/>
        <w:gridCol w:w="1559"/>
      </w:tblGrid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C000000">
            <w:pPr>
              <w:widowControl w:val="1"/>
              <w:ind/>
              <w:rPr>
                <w:rFonts w:ascii="Times New Roman" w:hAnsi="Times New Roman"/>
              </w:rPr>
            </w:pP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D000000">
            <w:pPr>
              <w:widowControl w:val="1"/>
              <w:ind/>
              <w:jc w:val="center"/>
              <w:rPr>
                <w:rFonts w:ascii="Times New Roman" w:hAnsi="Times New Roman"/>
                <w:b w:val="1"/>
              </w:rPr>
            </w:pPr>
          </w:p>
          <w:p w14:paraId="BE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Льготы для отдельных категорий населения</w:t>
            </w:r>
            <w:r>
              <w:rPr>
                <w:rFonts w:ascii="Times New Roman" w:hAnsi="Times New Roman"/>
                <w:b w:val="1"/>
              </w:rPr>
              <w:t>*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BF000000">
            <w:pPr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1"/>
              </w:rPr>
              <w:t>Условия посещения (% скидки)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0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1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Пенсионеры, инвалиды I, II, III групп, дети-инвалиды, дети до 14 лет, студенты очной формы обучения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2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50%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3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4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Военнослужащие, проходящие военную службу по призыву;</w:t>
            </w:r>
          </w:p>
          <w:p w14:paraId="C5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Ветераны и инвалиды ВОВ, ветераны и инвалиды боевых действий, Герои Советского Союза, Герои Российской Федерации, полные кавалеры Ордена Славы;</w:t>
            </w:r>
          </w:p>
          <w:p w14:paraId="C6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Участники специальной военной операции, а также члены их семей (супруги участников специальной военной операции, дети, в том числе находящиеся под опекой (попечительством), пасынки, падчерицы участников специальной военной операции, родители участников специальной военной операции);</w:t>
            </w:r>
          </w:p>
          <w:p w14:paraId="C7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Члены семей погибших (умерших) ветеранов боевых действий, участников специальной военной операции всех категорий.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8000000">
            <w:pPr>
              <w:widowControl w:val="1"/>
              <w:ind/>
              <w:rPr>
                <w:rFonts w:ascii="Times New Roman" w:hAnsi="Times New Roman"/>
              </w:rPr>
            </w:pPr>
          </w:p>
          <w:p w14:paraId="C9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  <w:tr>
        <w:tc>
          <w:tcPr>
            <w:tcW w:type="dxa" w:w="5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CA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type="dxa" w:w="738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B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Лица, сопровождающие группы (1 сопровождающий на 15 человек)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CC000000">
            <w:pPr>
              <w:widowControl w:val="1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100%</w:t>
            </w:r>
          </w:p>
        </w:tc>
      </w:tr>
    </w:tbl>
    <w:p w14:paraId="CD000000">
      <w:pPr>
        <w:widowControl w:val="1"/>
        <w:spacing w:before="120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Примечание* Льгота предоставляется при предъявлении подтверждающего документа, QR кода с «Единого портала государственных и муниципальных услуг (функций)» «Госуслуги» или сервиса «Цифровой ID».</w:t>
      </w:r>
    </w:p>
    <w:sectPr>
      <w:headerReference r:id="rId1" w:type="default"/>
      <w:pgSz w:h="16838" w:orient="portrait" w:w="11906"/>
      <w:pgMar w:bottom="567" w:footer="709" w:gutter="0" w:header="709" w:left="1418" w:right="851" w:top="567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ind/>
    </w:pPr>
    <w:rPr>
      <w:rFonts w:ascii="Arial" w:hAnsi="Arial"/>
      <w:sz w:val="24"/>
    </w:rPr>
  </w:style>
  <w:style w:default="1" w:styleId="Style_4_ch" w:type="character">
    <w:name w:val="Normal"/>
    <w:link w:val="Style_4"/>
    <w:rPr>
      <w:rFonts w:ascii="Arial" w:hAnsi="Arial"/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formattext"/>
    <w:basedOn w:val="Style_4"/>
    <w:link w:val="Style_9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9_ch" w:type="character">
    <w:name w:val="formattext"/>
    <w:basedOn w:val="Style_4_ch"/>
    <w:link w:val="Style_9"/>
    <w:rPr>
      <w:rFonts w:ascii="Times New Roman" w:hAnsi="Times New Roman"/>
    </w:rPr>
  </w:style>
  <w:style w:styleId="Style_10" w:type="paragraph">
    <w:name w:val="Endnote"/>
    <w:link w:val="Style_10_ch"/>
    <w:pPr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basedOn w:val="Style_4"/>
    <w:link w:val="Style_11_ch"/>
    <w:uiPriority w:val="9"/>
    <w:qFormat/>
    <w:pPr>
      <w:widowControl w:val="1"/>
      <w:spacing w:afterAutospacing="on" w:beforeAutospacing="on"/>
      <w:ind/>
      <w:outlineLvl w:val="2"/>
    </w:pPr>
    <w:rPr>
      <w:rFonts w:ascii="Times New Roman" w:hAnsi="Times New Roman"/>
      <w:b w:val="1"/>
      <w:sz w:val="27"/>
    </w:rPr>
  </w:style>
  <w:style w:styleId="Style_11_ch" w:type="character">
    <w:name w:val="heading 3"/>
    <w:basedOn w:val="Style_4_ch"/>
    <w:link w:val="Style_11"/>
    <w:rPr>
      <w:rFonts w:ascii="Times New Roman" w:hAnsi="Times New Roman"/>
      <w:b w:val="1"/>
      <w:sz w:val="27"/>
    </w:rPr>
  </w:style>
  <w:style w:styleId="Style_12" w:type="paragraph">
    <w:name w:val="footer"/>
    <w:basedOn w:val="Style_4"/>
    <w:link w:val="Style_12_ch"/>
    <w:pPr>
      <w:widowControl w:val="1"/>
      <w:tabs>
        <w:tab w:leader="none" w:pos="4677" w:val="center"/>
        <w:tab w:leader="none" w:pos="9355" w:val="right"/>
      </w:tabs>
      <w:ind/>
    </w:pPr>
  </w:style>
  <w:style w:styleId="Style_12_ch" w:type="character">
    <w:name w:val="footer"/>
    <w:basedOn w:val="Style_4_ch"/>
    <w:link w:val="Style_12"/>
  </w:style>
  <w:style w:styleId="Style_13" w:type="paragraph">
    <w:name w:val="highlightsearch"/>
    <w:basedOn w:val="Style_14"/>
    <w:link w:val="Style_13_ch"/>
  </w:style>
  <w:style w:styleId="Style_13_ch" w:type="character">
    <w:name w:val="highlightsearch"/>
    <w:basedOn w:val="Style_14_ch"/>
    <w:link w:val="Style_13"/>
  </w:style>
  <w:style w:styleId="Style_15" w:type="paragraph">
    <w:name w:val="Body Text"/>
    <w:basedOn w:val="Style_4"/>
    <w:link w:val="Style_15_ch"/>
    <w:pPr>
      <w:widowControl w:val="1"/>
      <w:ind/>
      <w:jc w:val="both"/>
    </w:pPr>
    <w:rPr>
      <w:rFonts w:ascii="Calibri" w:hAnsi="Calibri"/>
    </w:rPr>
  </w:style>
  <w:style w:styleId="Style_15_ch" w:type="character">
    <w:name w:val="Body Text"/>
    <w:basedOn w:val="Style_4_ch"/>
    <w:link w:val="Style_15"/>
    <w:rPr>
      <w:rFonts w:ascii="Calibri" w:hAnsi="Calibri"/>
    </w:rPr>
  </w:style>
  <w:style w:styleId="Style_16" w:type="paragraph">
    <w:name w:val="Normal (Web)"/>
    <w:basedOn w:val="Style_4"/>
    <w:link w:val="Style_16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16_ch" w:type="character">
    <w:name w:val="Normal (Web)"/>
    <w:basedOn w:val="Style_4_ch"/>
    <w:link w:val="Style_16"/>
    <w:rPr>
      <w:rFonts w:ascii="Times New Roman" w:hAnsi="Times New Roman"/>
    </w:rPr>
  </w:style>
  <w:style w:styleId="Style_17" w:type="paragraph">
    <w:name w:val="Emphasis"/>
    <w:link w:val="Style_17_ch"/>
    <w:rPr>
      <w:i w:val="1"/>
    </w:rPr>
  </w:style>
  <w:style w:styleId="Style_17_ch" w:type="character">
    <w:name w:val="Emphasis"/>
    <w:link w:val="Style_17"/>
    <w:rPr>
      <w:i w:val="1"/>
    </w:rPr>
  </w:style>
  <w:style w:styleId="Style_18" w:type="paragraph">
    <w:name w:val="standardcxspmiddle"/>
    <w:basedOn w:val="Style_4"/>
    <w:link w:val="Style_18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18_ch" w:type="character">
    <w:name w:val="standardcxspmiddle"/>
    <w:basedOn w:val="Style_4_ch"/>
    <w:link w:val="Style_18"/>
    <w:rPr>
      <w:rFonts w:ascii="Times New Roman" w:hAnsi="Times New Roman"/>
    </w:rPr>
  </w:style>
  <w:style w:styleId="Style_19" w:type="paragraph">
    <w:name w:val="FollowedHyperlink"/>
    <w:link w:val="Style_19_ch"/>
    <w:rPr>
      <w:color w:val="800080"/>
      <w:u w:val="single"/>
    </w:rPr>
  </w:style>
  <w:style w:styleId="Style_19_ch" w:type="character">
    <w:name w:val="FollowedHyperlink"/>
    <w:link w:val="Style_19"/>
    <w:rPr>
      <w:color w:val="800080"/>
      <w:u w:val="single"/>
    </w:rPr>
  </w:style>
  <w:style w:styleId="Style_20" w:type="paragraph">
    <w:name w:val="ConsPlusNonformat"/>
    <w:link w:val="Style_20_ch"/>
    <w:pPr>
      <w:widowControl w:val="0"/>
      <w:ind/>
    </w:pPr>
    <w:rPr>
      <w:rFonts w:ascii="Courier New" w:hAnsi="Courier New"/>
    </w:rPr>
  </w:style>
  <w:style w:styleId="Style_20_ch" w:type="character">
    <w:name w:val="ConsPlusNonformat"/>
    <w:link w:val="Style_20"/>
    <w:rPr>
      <w:rFonts w:ascii="Courier New" w:hAnsi="Courier New"/>
    </w:rPr>
  </w:style>
  <w:style w:styleId="Style_21" w:type="paragraph">
    <w:name w:val="toc 3"/>
    <w:next w:val="Style_4"/>
    <w:link w:val="Style_2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1_ch" w:type="character">
    <w:name w:val="toc 3"/>
    <w:link w:val="Style_21"/>
    <w:rPr>
      <w:rFonts w:ascii="XO Thames" w:hAnsi="XO Thames"/>
      <w:sz w:val="28"/>
    </w:rPr>
  </w:style>
  <w:style w:styleId="Style_2" w:type="paragraph">
    <w:name w:val="List Paragraph"/>
    <w:basedOn w:val="Style_4"/>
    <w:link w:val="Style_2_ch"/>
    <w:pPr>
      <w:widowControl w:val="1"/>
      <w:ind w:left="720"/>
      <w:contextualSpacing w:val="1"/>
    </w:pPr>
  </w:style>
  <w:style w:styleId="Style_2_ch" w:type="character">
    <w:name w:val="List Paragraph"/>
    <w:basedOn w:val="Style_4_ch"/>
    <w:link w:val="Style_2"/>
  </w:style>
  <w:style w:styleId="Style_22" w:type="paragraph">
    <w:name w:val="Прижатый влево"/>
    <w:basedOn w:val="Style_4"/>
    <w:next w:val="Style_4"/>
    <w:link w:val="Style_22_ch"/>
    <w:rPr>
      <w:rFonts w:ascii="Times New Roman CYR" w:hAnsi="Times New Roman CYR"/>
    </w:rPr>
  </w:style>
  <w:style w:styleId="Style_22_ch" w:type="character">
    <w:name w:val="Прижатый влево"/>
    <w:basedOn w:val="Style_4_ch"/>
    <w:link w:val="Style_22"/>
    <w:rPr>
      <w:rFonts w:ascii="Times New Roman CYR" w:hAnsi="Times New Roman CYR"/>
    </w:rPr>
  </w:style>
  <w:style w:styleId="Style_23" w:type="paragraph">
    <w:name w:val="s_1"/>
    <w:basedOn w:val="Style_4"/>
    <w:link w:val="Style_23_ch"/>
    <w:pPr>
      <w:widowControl w:val="1"/>
      <w:spacing w:afterAutospacing="on" w:beforeAutospacing="on"/>
      <w:ind/>
    </w:pPr>
    <w:rPr>
      <w:rFonts w:ascii="Times New Roman" w:hAnsi="Times New Roman"/>
    </w:rPr>
  </w:style>
  <w:style w:styleId="Style_23_ch" w:type="character">
    <w:name w:val="s_1"/>
    <w:basedOn w:val="Style_4_ch"/>
    <w:link w:val="Style_23"/>
    <w:rPr>
      <w:rFonts w:ascii="Times New Roman" w:hAnsi="Times New Roman"/>
    </w:rPr>
  </w:style>
  <w:style w:styleId="Style_24" w:type="paragraph">
    <w:name w:val="heading 5"/>
    <w:next w:val="Style_4"/>
    <w:link w:val="Style_2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4_ch" w:type="character">
    <w:name w:val="heading 5"/>
    <w:link w:val="Style_24"/>
    <w:rPr>
      <w:rFonts w:ascii="XO Thames" w:hAnsi="XO Thames"/>
      <w:b w:val="1"/>
      <w:sz w:val="22"/>
    </w:rPr>
  </w:style>
  <w:style w:styleId="Style_25" w:type="paragraph">
    <w:name w:val="Balloon Text"/>
    <w:basedOn w:val="Style_4"/>
    <w:link w:val="Style_25_ch"/>
    <w:rPr>
      <w:rFonts w:ascii="Tahoma" w:hAnsi="Tahoma"/>
      <w:sz w:val="16"/>
    </w:rPr>
  </w:style>
  <w:style w:styleId="Style_25_ch" w:type="character">
    <w:name w:val="Balloon Text"/>
    <w:basedOn w:val="Style_4_ch"/>
    <w:link w:val="Style_25"/>
    <w:rPr>
      <w:rFonts w:ascii="Tahoma" w:hAnsi="Tahoma"/>
      <w:sz w:val="16"/>
    </w:rPr>
  </w:style>
  <w:style w:styleId="Style_26" w:type="paragraph">
    <w:name w:val="heading 1"/>
    <w:basedOn w:val="Style_4"/>
    <w:next w:val="Style_4"/>
    <w:link w:val="Style_26_ch"/>
    <w:uiPriority w:val="9"/>
    <w:qFormat/>
    <w:pPr>
      <w:keepNext w:val="1"/>
      <w:keepLines w:val="1"/>
      <w:widowControl w:val="1"/>
      <w:spacing w:before="480"/>
      <w:ind/>
      <w:outlineLvl w:val="0"/>
    </w:pPr>
    <w:rPr>
      <w:rFonts w:ascii="Cambria" w:hAnsi="Cambria"/>
      <w:b w:val="1"/>
      <w:color w:val="365F91"/>
      <w:sz w:val="28"/>
    </w:rPr>
  </w:style>
  <w:style w:styleId="Style_26_ch" w:type="character">
    <w:name w:val="heading 1"/>
    <w:basedOn w:val="Style_4_ch"/>
    <w:link w:val="Style_26"/>
    <w:rPr>
      <w:rFonts w:ascii="Cambria" w:hAnsi="Cambria"/>
      <w:b w:val="1"/>
      <w:color w:val="365F91"/>
      <w:sz w:val="28"/>
    </w:rPr>
  </w:style>
  <w:style w:styleId="Style_27" w:type="paragraph">
    <w:name w:val="footnote reference"/>
    <w:link w:val="Style_27_ch"/>
    <w:rPr>
      <w:vertAlign w:val="superscript"/>
    </w:rPr>
  </w:style>
  <w:style w:styleId="Style_27_ch" w:type="character">
    <w:name w:val="footnote reference"/>
    <w:link w:val="Style_27"/>
    <w:rPr>
      <w:vertAlign w:val="superscript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8" w:type="paragraph">
    <w:name w:val="Hyperlink"/>
    <w:link w:val="Style_28_ch"/>
    <w:rPr>
      <w:color w:val="0000FF"/>
      <w:u w:val="single"/>
    </w:rPr>
  </w:style>
  <w:style w:styleId="Style_28_ch" w:type="character">
    <w:name w:val="Hyperlink"/>
    <w:link w:val="Style_28"/>
    <w:rPr>
      <w:color w:val="0000FF"/>
      <w:u w:val="single"/>
    </w:rPr>
  </w:style>
  <w:style w:styleId="Style_29" w:type="paragraph">
    <w:name w:val="Footnote"/>
    <w:basedOn w:val="Style_4"/>
    <w:link w:val="Style_29_ch"/>
    <w:pPr>
      <w:widowControl w:val="1"/>
      <w:ind/>
    </w:pPr>
    <w:rPr>
      <w:rFonts w:ascii="Times New Roman" w:hAnsi="Times New Roman"/>
      <w:sz w:val="20"/>
    </w:rPr>
  </w:style>
  <w:style w:styleId="Style_29_ch" w:type="character">
    <w:name w:val="Footnote"/>
    <w:basedOn w:val="Style_4_ch"/>
    <w:link w:val="Style_29"/>
    <w:rPr>
      <w:rFonts w:ascii="Times New Roman" w:hAnsi="Times New Roman"/>
      <w:sz w:val="20"/>
    </w:rPr>
  </w:style>
  <w:style w:styleId="Style_30" w:type="paragraph">
    <w:name w:val="toc 1"/>
    <w:next w:val="Style_4"/>
    <w:link w:val="Style_30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Абзац списка1"/>
    <w:basedOn w:val="Style_4"/>
    <w:link w:val="Style_31_ch"/>
    <w:pPr>
      <w:widowControl w:val="1"/>
      <w:spacing w:after="200" w:line="276" w:lineRule="auto"/>
      <w:ind w:left="720"/>
      <w:contextualSpacing w:val="1"/>
    </w:pPr>
    <w:rPr>
      <w:rFonts w:ascii="Calibri" w:hAnsi="Calibri"/>
      <w:sz w:val="22"/>
    </w:rPr>
  </w:style>
  <w:style w:styleId="Style_31_ch" w:type="character">
    <w:name w:val="Абзац списка1"/>
    <w:basedOn w:val="Style_4_ch"/>
    <w:link w:val="Style_31"/>
    <w:rPr>
      <w:rFonts w:ascii="Calibri" w:hAnsi="Calibri"/>
      <w:sz w:val="22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33" w:type="paragraph">
    <w:name w:val="toc 9"/>
    <w:next w:val="Style_4"/>
    <w:link w:val="Style_3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3_ch" w:type="character">
    <w:name w:val="toc 9"/>
    <w:link w:val="Style_33"/>
    <w:rPr>
      <w:rFonts w:ascii="XO Thames" w:hAnsi="XO Thames"/>
      <w:sz w:val="28"/>
    </w:rPr>
  </w:style>
  <w:style w:styleId="Style_34" w:type="paragraph">
    <w:name w:val="ConsPlusNormal"/>
    <w:link w:val="Style_34_ch"/>
    <w:pPr>
      <w:widowControl w:val="0"/>
      <w:ind/>
    </w:pPr>
    <w:rPr>
      <w:rFonts w:ascii="Arial" w:hAnsi="Arial"/>
      <w:sz w:val="16"/>
    </w:rPr>
  </w:style>
  <w:style w:styleId="Style_34_ch" w:type="character">
    <w:name w:val="ConsPlusNormal"/>
    <w:link w:val="Style_34"/>
    <w:rPr>
      <w:rFonts w:ascii="Arial" w:hAnsi="Arial"/>
      <w:sz w:val="16"/>
    </w:rPr>
  </w:style>
  <w:style w:styleId="Style_35" w:type="paragraph">
    <w:name w:val="Standard"/>
    <w:link w:val="Style_35_ch"/>
    <w:rPr>
      <w:rFonts w:ascii="Times New Roman" w:hAnsi="Times New Roman"/>
      <w:sz w:val="24"/>
    </w:rPr>
  </w:style>
  <w:style w:styleId="Style_35_ch" w:type="character">
    <w:name w:val="Standard"/>
    <w:link w:val="Style_35"/>
    <w:rPr>
      <w:rFonts w:ascii="Times New Roman" w:hAnsi="Times New Roman"/>
      <w:sz w:val="24"/>
    </w:rPr>
  </w:style>
  <w:style w:styleId="Style_36" w:type="paragraph">
    <w:name w:val="toc 8"/>
    <w:next w:val="Style_4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Гипертекстовая ссылка"/>
    <w:link w:val="Style_37_ch"/>
    <w:rPr>
      <w:color w:val="106BBE"/>
    </w:rPr>
  </w:style>
  <w:style w:styleId="Style_37_ch" w:type="character">
    <w:name w:val="Гипертекстовая ссылка"/>
    <w:link w:val="Style_37"/>
    <w:rPr>
      <w:color w:val="106BBE"/>
    </w:rPr>
  </w:style>
  <w:style w:styleId="Style_38" w:type="paragraph">
    <w:name w:val="toc 5"/>
    <w:next w:val="Style_4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Основной текст Знак1"/>
    <w:link w:val="Style_39_ch"/>
    <w:rPr>
      <w:rFonts w:ascii="Arial" w:hAnsi="Arial"/>
      <w:sz w:val="24"/>
    </w:rPr>
  </w:style>
  <w:style w:styleId="Style_39_ch" w:type="character">
    <w:name w:val="Основной текст Знак1"/>
    <w:link w:val="Style_39"/>
    <w:rPr>
      <w:rFonts w:ascii="Arial" w:hAnsi="Arial"/>
      <w:sz w:val="24"/>
    </w:rPr>
  </w:style>
  <w:style w:styleId="Style_40" w:type="paragraph">
    <w:name w:val="Цветовое выделение"/>
    <w:link w:val="Style_40_ch"/>
    <w:rPr>
      <w:b w:val="1"/>
      <w:color w:val="26282F"/>
    </w:rPr>
  </w:style>
  <w:style w:styleId="Style_40_ch" w:type="character">
    <w:name w:val="Цветовое выделение"/>
    <w:link w:val="Style_40"/>
    <w:rPr>
      <w:b w:val="1"/>
      <w:color w:val="26282F"/>
    </w:rPr>
  </w:style>
  <w:style w:styleId="Style_41" w:type="paragraph">
    <w:name w:val="Subtitle"/>
    <w:next w:val="Style_4"/>
    <w:link w:val="Style_4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42" w:type="paragraph">
    <w:name w:val="Title"/>
    <w:next w:val="Style_4"/>
    <w:link w:val="Style_4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4"/>
    <w:link w:val="Style_4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heading 2"/>
    <w:next w:val="Style_4"/>
    <w:link w:val="Style_4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4_ch" w:type="character">
    <w:name w:val="heading 2"/>
    <w:link w:val="Style_44"/>
    <w:rPr>
      <w:rFonts w:ascii="XO Thames" w:hAnsi="XO Thames"/>
      <w:b w:val="1"/>
      <w:sz w:val="28"/>
    </w:rPr>
  </w:style>
  <w:style w:styleId="Style_45" w:type="table">
    <w:name w:val="Table Grid"/>
    <w:basedOn w:val="Style_3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6" w:type="table">
    <w:name w:val="Сетка таблицы1"/>
    <w:basedOn w:val="Style_3"/>
    <w:rPr>
      <w:rFonts w:ascii="Times New Roman" w:hAnsi="Times New Roman"/>
      <w:color w:val="00000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2026-09-30T06:30:31Z</dcterms:created>
  <dcterms:modified xsi:type="dcterms:W3CDTF">2026-09-30T06:30:31Z</dcterms:modified>
</cp:coreProperties>
</file>