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Экспертиза</w:t>
      </w:r>
    </w:p>
    <w:p w14:paraId="04000000">
      <w:pPr>
        <w:widowControl w:val="0"/>
        <w:ind/>
        <w:jc w:val="center"/>
        <w:rPr>
          <w:b w:val="1"/>
          <w:sz w:val="28"/>
        </w:rPr>
      </w:pPr>
      <w:r>
        <w:rPr>
          <w:b w:val="1"/>
          <w:sz w:val="28"/>
        </w:rPr>
        <w:t>проекта решения Совета народных депутатов Крапивинского муниципального округа "О бюджете Крапивинского муниципального округа на 2026 год и плановый период 2027 и 2028 годов".</w:t>
      </w:r>
    </w:p>
    <w:p w14:paraId="05000000">
      <w:pPr>
        <w:widowControl w:val="0"/>
        <w:ind/>
        <w:jc w:val="center"/>
        <w:rPr>
          <w:b w:val="1"/>
          <w:sz w:val="28"/>
        </w:rPr>
      </w:pPr>
    </w:p>
    <w:p w14:paraId="06000000">
      <w:pPr>
        <w:widowControl w:val="0"/>
        <w:ind/>
        <w:jc w:val="center"/>
        <w:rPr>
          <w:b w:val="1"/>
          <w:sz w:val="28"/>
        </w:rPr>
      </w:pPr>
    </w:p>
    <w:p w14:paraId="07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Представленный администрацией Крапивинского муниципального округа</w:t>
      </w:r>
      <w:r>
        <w:rPr>
          <w:sz w:val="28"/>
        </w:rPr>
        <w:t xml:space="preserve"> проект бюджета Крапивинского муниципального округа на 2026 год и плановый период 2027 и 2028 годов сформирован в соответствии с действующим налоговым законодательством Российской Федерации, бюджетным Кодексом Российской Федерации, исходя из проекта Закона</w:t>
      </w:r>
      <w:r>
        <w:rPr>
          <w:sz w:val="28"/>
        </w:rPr>
        <w:t xml:space="preserve"> Кемеровской области - Кузбасса «Об областном бюджете на 2026 год и плановый период 2027 и 2028 годов», с </w:t>
      </w:r>
      <w:r>
        <w:rPr>
          <w:sz w:val="28"/>
        </w:rPr>
        <w:t>учетом Положений Постановления администрации Крапивинского муниципального</w:t>
      </w:r>
      <w:r>
        <w:rPr>
          <w:sz w:val="28"/>
        </w:rPr>
        <w:t xml:space="preserve"> </w:t>
      </w:r>
      <w:r>
        <w:rPr>
          <w:sz w:val="28"/>
        </w:rPr>
        <w:t xml:space="preserve">округа от 05.11.2025 </w:t>
      </w:r>
      <w:r>
        <w:rPr>
          <w:sz w:val="28"/>
        </w:rPr>
        <w:t>№1220 «Об основных</w:t>
      </w:r>
      <w:r>
        <w:rPr>
          <w:sz w:val="28"/>
        </w:rPr>
        <w:t xml:space="preserve"> направлениях бюджетной и налоговой политики Крапивинского муниципального округа на 2026 год и плановый период 2027 и 2028 годов», ожидаемых итогов социально-экономического развития округа за 2025 год, на основе п</w:t>
      </w:r>
      <w:r>
        <w:rPr>
          <w:sz w:val="28"/>
        </w:rPr>
        <w:t>оказателей прогноза социально-экономического развития Крапивинского муниципального округа, утвержденного постановлением администрации Крапивинского муниципального округа от 10.07.2025 №777 "Об утверждении</w:t>
      </w:r>
      <w:r>
        <w:rPr>
          <w:sz w:val="28"/>
        </w:rPr>
        <w:t xml:space="preserve"> прогноза социально-экономического развития Крапив</w:t>
      </w:r>
      <w:r>
        <w:rPr>
          <w:sz w:val="28"/>
        </w:rPr>
        <w:t>инского муниципального округа на 2026 год и на плановый период до 2028 года.</w:t>
      </w:r>
    </w:p>
    <w:p w14:paraId="08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Цель проекта бюджета - финансовое обеспечение задач и функций орг</w:t>
      </w:r>
      <w:r>
        <w:rPr>
          <w:sz w:val="28"/>
        </w:rPr>
        <w:t>а</w:t>
      </w:r>
      <w:r>
        <w:rPr>
          <w:sz w:val="28"/>
        </w:rPr>
        <w:t>нов местного самоуправления Крапивинского муниципального округа</w:t>
      </w:r>
      <w:r>
        <w:rPr>
          <w:sz w:val="28"/>
        </w:rPr>
        <w:t>.</w:t>
      </w:r>
    </w:p>
    <w:p w14:paraId="09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В соответствии с положениями статей 170 и 172 Бюджетного Кодекса РФ составление бюджета основывалось:</w:t>
      </w:r>
    </w:p>
    <w:p w14:paraId="0A00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sz w:val="28"/>
        </w:rPr>
        <w:t>- на решении Совета народных депутатов Крапивинского муниципального округа от 29.09.2025 №75 «Об утверждении Положения "О бюджетном процессе в Крапивинском муниципальном округе»</w:t>
      </w:r>
      <w:r>
        <w:rPr>
          <w:color w:val="000000"/>
          <w:sz w:val="28"/>
        </w:rPr>
        <w:t>;</w:t>
      </w:r>
    </w:p>
    <w:p w14:paraId="0B000000">
      <w:pPr>
        <w:widowControl w:val="0"/>
        <w:ind w:firstLine="709" w:left="0"/>
        <w:jc w:val="both"/>
        <w:rPr>
          <w:color w:val="FF0000"/>
          <w:sz w:val="28"/>
        </w:rPr>
      </w:pPr>
      <w:r>
        <w:rPr>
          <w:sz w:val="28"/>
        </w:rPr>
        <w:t xml:space="preserve">- на постановлении администрации Крапивинского муниципального округа от 05.11.2025 №1219 «Об утверждении </w:t>
      </w:r>
      <w:r>
        <w:rPr>
          <w:sz w:val="28"/>
        </w:rPr>
        <w:t>Порядка составления проекта бюджета Крапиви</w:t>
      </w:r>
      <w:r>
        <w:rPr>
          <w:sz w:val="28"/>
        </w:rPr>
        <w:t>нского муниципального округа</w:t>
      </w:r>
      <w:r>
        <w:rPr>
          <w:sz w:val="28"/>
        </w:rPr>
        <w:t xml:space="preserve"> на очередной финансовый год и плановый период»;</w:t>
      </w:r>
    </w:p>
    <w:p w14:paraId="0C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- на основе показателей прогноза социально-экономического развития Крапивинского муниципального округа на 2026 год и плановый период до 2028 года;</w:t>
      </w:r>
    </w:p>
    <w:p w14:paraId="0D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- на основных направлениях бюдже</w:t>
      </w:r>
      <w:r>
        <w:rPr>
          <w:sz w:val="28"/>
        </w:rPr>
        <w:t>тной и налоговой политики.</w:t>
      </w:r>
    </w:p>
    <w:p w14:paraId="0E000000">
      <w:pPr>
        <w:widowControl w:val="0"/>
        <w:ind/>
        <w:jc w:val="both"/>
        <w:rPr>
          <w:b w:val="1"/>
          <w:color w:val="FF0000"/>
          <w:sz w:val="28"/>
        </w:rPr>
      </w:pPr>
    </w:p>
    <w:p w14:paraId="0F000000">
      <w:pPr>
        <w:widowControl w:val="0"/>
        <w:ind/>
        <w:jc w:val="both"/>
        <w:rPr>
          <w:b w:val="1"/>
          <w:color w:val="FF0000"/>
          <w:sz w:val="28"/>
        </w:rPr>
      </w:pPr>
    </w:p>
    <w:p w14:paraId="10000000">
      <w:pPr>
        <w:widowControl w:val="0"/>
        <w:ind/>
        <w:jc w:val="both"/>
        <w:rPr>
          <w:b w:val="1"/>
          <w:color w:val="FF0000"/>
          <w:sz w:val="28"/>
        </w:rPr>
      </w:pPr>
    </w:p>
    <w:p w14:paraId="11000000">
      <w:pPr>
        <w:widowControl w:val="0"/>
        <w:ind/>
        <w:jc w:val="both"/>
        <w:rPr>
          <w:b w:val="1"/>
          <w:color w:val="FF0000"/>
          <w:sz w:val="28"/>
        </w:rPr>
      </w:pPr>
    </w:p>
    <w:p w14:paraId="12000000">
      <w:pPr>
        <w:widowControl w:val="0"/>
        <w:ind w:firstLine="720" w:left="0"/>
        <w:jc w:val="center"/>
        <w:rPr>
          <w:b w:val="1"/>
          <w:sz w:val="28"/>
        </w:rPr>
      </w:pPr>
      <w:r>
        <w:rPr>
          <w:b w:val="1"/>
          <w:sz w:val="28"/>
        </w:rPr>
        <w:t>Доходы</w:t>
      </w:r>
    </w:p>
    <w:p w14:paraId="13000000">
      <w:pPr>
        <w:widowControl w:val="0"/>
        <w:ind w:firstLine="720" w:left="0"/>
        <w:jc w:val="center"/>
        <w:rPr>
          <w:b w:val="1"/>
          <w:sz w:val="28"/>
        </w:rPr>
      </w:pPr>
    </w:p>
    <w:p w14:paraId="14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Доходная часть бюджета округа состоит из налоговых и неналоговых доходов и безвозмездных поступлений из вышестоящего бюджета.</w:t>
      </w:r>
    </w:p>
    <w:p w14:paraId="15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 xml:space="preserve">Общий объем доходов бюджета округа на 2026 год в целом составит </w:t>
      </w:r>
      <w:r>
        <w:rPr>
          <w:sz w:val="28"/>
        </w:rPr>
        <w:t>1354,2</w:t>
      </w:r>
      <w:r>
        <w:rPr>
          <w:sz w:val="28"/>
        </w:rPr>
        <w:t xml:space="preserve"> млн. рублей, в </w:t>
      </w:r>
      <w:r>
        <w:rPr>
          <w:sz w:val="28"/>
        </w:rPr>
        <w:t>т.ч</w:t>
      </w:r>
      <w:r>
        <w:rPr>
          <w:sz w:val="28"/>
        </w:rPr>
        <w:t xml:space="preserve">. налоговые и неналоговые доходы предусмотрены в сумме 353,6 </w:t>
      </w:r>
      <w:r>
        <w:rPr>
          <w:sz w:val="28"/>
        </w:rPr>
        <w:t>млн</w:t>
      </w:r>
      <w:r>
        <w:rPr>
          <w:sz w:val="28"/>
        </w:rPr>
        <w:t>.р</w:t>
      </w:r>
      <w:r>
        <w:rPr>
          <w:sz w:val="28"/>
        </w:rPr>
        <w:t>ублей</w:t>
      </w:r>
      <w:r>
        <w:rPr>
          <w:sz w:val="28"/>
        </w:rPr>
        <w:t xml:space="preserve">, или 26,1% от общего объема доходов, безвозмездные поступления - 1000,6 </w:t>
      </w:r>
      <w:r>
        <w:rPr>
          <w:sz w:val="28"/>
        </w:rPr>
        <w:t>млн.рублей</w:t>
      </w:r>
      <w:r>
        <w:rPr>
          <w:sz w:val="28"/>
        </w:rPr>
        <w:t>, или 73,9</w:t>
      </w:r>
      <w:r>
        <w:rPr>
          <w:sz w:val="28"/>
        </w:rPr>
        <w:t xml:space="preserve"> %.</w:t>
      </w:r>
    </w:p>
    <w:p w14:paraId="16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Общий объем доходов бюджета муниципального округа на 2027 год</w:t>
      </w:r>
      <w:r>
        <w:rPr>
          <w:sz w:val="28"/>
        </w:rPr>
        <w:t xml:space="preserve"> составит 1361,8 млн. рублей и на 2028 год - 1376,8 </w:t>
      </w:r>
      <w:r>
        <w:rPr>
          <w:sz w:val="28"/>
        </w:rPr>
        <w:t>млн</w:t>
      </w:r>
      <w:r>
        <w:rPr>
          <w:sz w:val="28"/>
        </w:rPr>
        <w:t>.р</w:t>
      </w:r>
      <w:r>
        <w:rPr>
          <w:sz w:val="28"/>
        </w:rPr>
        <w:t>ублей</w:t>
      </w:r>
      <w:r>
        <w:rPr>
          <w:sz w:val="28"/>
        </w:rPr>
        <w:t xml:space="preserve">. </w:t>
      </w:r>
    </w:p>
    <w:p w14:paraId="17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Основ</w:t>
      </w:r>
      <w:r>
        <w:rPr>
          <w:sz w:val="28"/>
        </w:rPr>
        <w:t>н</w:t>
      </w:r>
      <w:r>
        <w:rPr>
          <w:sz w:val="28"/>
        </w:rPr>
        <w:t>ые источники налоговых поступлений в бюджет округа:</w:t>
      </w:r>
    </w:p>
    <w:p w14:paraId="18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- налог на доходы физических лиц на 2026 год рассчитан в сумме 201,6</w:t>
      </w:r>
      <w:r>
        <w:rPr>
          <w:sz w:val="28"/>
        </w:rPr>
        <w:t xml:space="preserve"> млн. рублей, что составляет</w:t>
      </w:r>
      <w:r>
        <w:rPr>
          <w:sz w:val="28"/>
        </w:rPr>
        <w:t xml:space="preserve"> </w:t>
      </w:r>
      <w:r>
        <w:rPr>
          <w:sz w:val="28"/>
        </w:rPr>
        <w:t>105,3</w:t>
      </w:r>
      <w:r>
        <w:rPr>
          <w:sz w:val="28"/>
        </w:rPr>
        <w:t xml:space="preserve">% от ожидаемого поступления в </w:t>
      </w:r>
      <w:r>
        <w:rPr>
          <w:sz w:val="28"/>
        </w:rPr>
        <w:t>2025 году, на 2027 год –203,7 млн. руб., н</w:t>
      </w:r>
      <w:r>
        <w:rPr>
          <w:sz w:val="28"/>
        </w:rPr>
        <w:t>а 2028 год - 206,7</w:t>
      </w:r>
      <w:r>
        <w:rPr>
          <w:sz w:val="28"/>
        </w:rPr>
        <w:t xml:space="preserve"> млн. руб.;</w:t>
      </w:r>
    </w:p>
    <w:p w14:paraId="19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>- акцизы по подакцизным товарам (продукции), производимым на территории РФ рассчитаны на 2026 год в сумме 24,3 млн. руб.,</w:t>
      </w:r>
      <w:r>
        <w:rPr>
          <w:sz w:val="28"/>
        </w:rPr>
        <w:t xml:space="preserve"> что составляет</w:t>
      </w:r>
      <w:r>
        <w:rPr>
          <w:sz w:val="28"/>
        </w:rPr>
        <w:t xml:space="preserve"> </w:t>
      </w:r>
      <w:r>
        <w:rPr>
          <w:sz w:val="28"/>
        </w:rPr>
        <w:t>114,3</w:t>
      </w:r>
      <w:r>
        <w:rPr>
          <w:sz w:val="28"/>
        </w:rPr>
        <w:t xml:space="preserve">% от ожидаемого поступления в </w:t>
      </w:r>
      <w:r>
        <w:rPr>
          <w:sz w:val="28"/>
        </w:rPr>
        <w:t>2025 году,</w:t>
      </w:r>
      <w:r>
        <w:rPr>
          <w:sz w:val="28"/>
        </w:rPr>
        <w:t xml:space="preserve"> на 2027 год -24,6 млн. руб., на 2028 год – 23,6 млн. </w:t>
      </w:r>
      <w:r>
        <w:rPr>
          <w:sz w:val="28"/>
        </w:rPr>
        <w:t>руб.;</w:t>
      </w:r>
    </w:p>
    <w:p w14:paraId="1A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туристический налог прогнозируется на 2026 год в сумме 750,0 тыс.рублей, на 2027 год – 1150,0 тыс.рублей, на 2028 год – 1500,0 тыс. рублей;</w:t>
      </w:r>
    </w:p>
    <w:p w14:paraId="1B000000">
      <w:pPr>
        <w:widowControl w:val="0"/>
        <w:ind w:firstLine="720" w:left="0"/>
        <w:jc w:val="both"/>
        <w:rPr>
          <w:sz w:val="28"/>
        </w:rPr>
      </w:pPr>
      <w:r>
        <w:rPr>
          <w:sz w:val="28"/>
        </w:rPr>
        <w:t xml:space="preserve">- налог, взимаемый в связи с применением упрощенной системы налогообложения, запланирован на 2026 год в сумме 37,27 млн. руб., на 2027 год – 29,0 </w:t>
      </w:r>
      <w:r>
        <w:rPr>
          <w:sz w:val="28"/>
        </w:rPr>
        <w:t>млн</w:t>
      </w:r>
      <w:r>
        <w:rPr>
          <w:sz w:val="28"/>
        </w:rPr>
        <w:t>.р</w:t>
      </w:r>
      <w:r>
        <w:rPr>
          <w:sz w:val="28"/>
        </w:rPr>
        <w:t>уб</w:t>
      </w:r>
      <w:r>
        <w:rPr>
          <w:sz w:val="28"/>
        </w:rPr>
        <w:t xml:space="preserve">., на 2028 год – 39,2 </w:t>
      </w:r>
      <w:r>
        <w:rPr>
          <w:sz w:val="28"/>
        </w:rPr>
        <w:t>млн.руб</w:t>
      </w:r>
      <w:r>
        <w:rPr>
          <w:sz w:val="28"/>
        </w:rPr>
        <w:t>.;</w:t>
      </w:r>
    </w:p>
    <w:p w14:paraId="1C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- единый сельскохозяйственный налог, запланирован на 2026 год </w:t>
      </w:r>
      <w:r>
        <w:rPr>
          <w:sz w:val="28"/>
        </w:rPr>
        <w:t>в сумме 8,5 млн. руб., на 2027 год –9,0 млн. руб., на 2028 год – 9,5 млн. руб.;</w:t>
      </w:r>
    </w:p>
    <w:p w14:paraId="1D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- налог, в</w:t>
      </w:r>
      <w:r>
        <w:rPr>
          <w:sz w:val="28"/>
        </w:rPr>
        <w:t>з</w:t>
      </w:r>
      <w:r>
        <w:rPr>
          <w:sz w:val="28"/>
        </w:rPr>
        <w:t xml:space="preserve">имаемый в связи с применением патентной системы налогообложения, планируется получить в 2026 году в сумме 0,22 </w:t>
      </w:r>
      <w:r>
        <w:rPr>
          <w:sz w:val="28"/>
        </w:rPr>
        <w:t>млн</w:t>
      </w:r>
      <w:r>
        <w:rPr>
          <w:sz w:val="28"/>
        </w:rPr>
        <w:t>.р</w:t>
      </w:r>
      <w:r>
        <w:rPr>
          <w:sz w:val="28"/>
        </w:rPr>
        <w:t>уб</w:t>
      </w:r>
      <w:r>
        <w:rPr>
          <w:sz w:val="28"/>
        </w:rPr>
        <w:t>., в 2027 году - 0,25</w:t>
      </w:r>
      <w:r>
        <w:rPr>
          <w:sz w:val="28"/>
        </w:rPr>
        <w:t xml:space="preserve"> </w:t>
      </w:r>
      <w:r>
        <w:rPr>
          <w:sz w:val="28"/>
        </w:rPr>
        <w:t>млн.руб</w:t>
      </w:r>
      <w:r>
        <w:rPr>
          <w:sz w:val="28"/>
        </w:rPr>
        <w:t>., в 2028 году - 0,29</w:t>
      </w:r>
      <w:r>
        <w:rPr>
          <w:sz w:val="28"/>
        </w:rPr>
        <w:t xml:space="preserve"> </w:t>
      </w:r>
      <w:r>
        <w:rPr>
          <w:sz w:val="28"/>
        </w:rPr>
        <w:t>млн.руб</w:t>
      </w:r>
      <w:r>
        <w:rPr>
          <w:sz w:val="28"/>
        </w:rPr>
        <w:t>.;</w:t>
      </w:r>
    </w:p>
    <w:p w14:paraId="1E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трансп</w:t>
      </w:r>
      <w:r>
        <w:rPr>
          <w:sz w:val="28"/>
        </w:rPr>
        <w:t>о</w:t>
      </w:r>
      <w:r>
        <w:rPr>
          <w:sz w:val="28"/>
        </w:rPr>
        <w:t xml:space="preserve">ртный налог планируется на 2026 год 670,0 тыс.руб.,на 2027 год - 700 тыс.руб., на 2028 год в сумме </w:t>
      </w:r>
      <w:bookmarkStart w:id="1" w:name="_GoBack"/>
      <w:bookmarkEnd w:id="1"/>
      <w:r>
        <w:rPr>
          <w:sz w:val="28"/>
        </w:rPr>
        <w:t xml:space="preserve">740,0 </w:t>
      </w:r>
      <w:r>
        <w:rPr>
          <w:sz w:val="28"/>
        </w:rPr>
        <w:t>тыс. руб.;</w:t>
      </w:r>
    </w:p>
    <w:p w14:paraId="1F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- налог на имущество физических лиц на 2026 год планируется 3,64 млн.руб., на 2027 и 2028 год запланировано по 3,9 млн.руб.</w:t>
      </w:r>
      <w:r>
        <w:rPr>
          <w:sz w:val="28"/>
        </w:rPr>
        <w:t>;</w:t>
      </w:r>
    </w:p>
    <w:p w14:paraId="20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- земельный налог запланирован на 2026 год в размере 22,7</w:t>
      </w:r>
      <w:r>
        <w:rPr>
          <w:sz w:val="28"/>
        </w:rPr>
        <w:t xml:space="preserve"> </w:t>
      </w:r>
      <w:r>
        <w:rPr>
          <w:sz w:val="28"/>
        </w:rPr>
        <w:t>млн</w:t>
      </w:r>
      <w:r>
        <w:rPr>
          <w:sz w:val="28"/>
        </w:rPr>
        <w:t>.р</w:t>
      </w:r>
      <w:r>
        <w:rPr>
          <w:sz w:val="28"/>
        </w:rPr>
        <w:t>уб</w:t>
      </w:r>
      <w:r>
        <w:rPr>
          <w:sz w:val="28"/>
        </w:rPr>
        <w:t xml:space="preserve">., на 2027 год – 23,7 </w:t>
      </w:r>
      <w:r>
        <w:rPr>
          <w:sz w:val="28"/>
        </w:rPr>
        <w:t>млн.руб</w:t>
      </w:r>
      <w:r>
        <w:rPr>
          <w:sz w:val="28"/>
        </w:rPr>
        <w:t xml:space="preserve">., на 2028 год – 23,9 </w:t>
      </w:r>
      <w:r>
        <w:rPr>
          <w:sz w:val="28"/>
        </w:rPr>
        <w:t>млн.руб</w:t>
      </w:r>
      <w:r>
        <w:rPr>
          <w:sz w:val="28"/>
        </w:rPr>
        <w:t xml:space="preserve">.; </w:t>
      </w:r>
    </w:p>
    <w:p w14:paraId="21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- государственная пошлина по делам, рассматриваемым в судах общей юрисдикции, госпошлина за совершение нотариальных действий, госпошлина от размещения рекламы планируется в 2026 году в с</w:t>
      </w:r>
      <w:r>
        <w:rPr>
          <w:sz w:val="28"/>
        </w:rPr>
        <w:t>умме 11,5 млн. руб., в 2027 году – 12,1 млн. руб., в 2028 году – 12,37</w:t>
      </w:r>
      <w:r>
        <w:rPr>
          <w:sz w:val="28"/>
        </w:rPr>
        <w:t xml:space="preserve"> млн. руб.</w:t>
      </w:r>
    </w:p>
    <w:p w14:paraId="22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Дох</w:t>
      </w:r>
      <w:r>
        <w:rPr>
          <w:sz w:val="28"/>
        </w:rPr>
        <w:t>од</w:t>
      </w:r>
      <w:r>
        <w:rPr>
          <w:sz w:val="28"/>
        </w:rPr>
        <w:t>ы от использования имущества, находящегося в муниципальной собственности Крапивинского муниципального округа прогнозируются на 2026 год в сумме 36,8 млн. руб., на 2027 год – 37,37 млн.руб., на -2028 год – 37,83 млн.руб.;</w:t>
      </w:r>
    </w:p>
    <w:p w14:paraId="23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Основную долю неналоговых доходов составляют доходы от сдачи в аренду земельных участков, в 2026 году в размере 28,0 млн. руб.,в 2027 году – 28,2 млн.руб., в 2028 году планируется поступление в сумме 28,4 млн. руб.</w:t>
      </w:r>
    </w:p>
    <w:p w14:paraId="24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Кроме этого, запланированы поступления прочих неналоговых доходов: от продажи муниципального имущества и земельных участков, от оказания платных услуг казенными учреждениями, от платы за негативное воздействи</w:t>
      </w:r>
      <w:r>
        <w:rPr>
          <w:sz w:val="28"/>
        </w:rPr>
        <w:t>е на окружающую среду и прочих безвозмездных поступлений.</w:t>
      </w:r>
    </w:p>
    <w:p w14:paraId="25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В соответствие с проектом Закона Кемеровской области - </w:t>
      </w:r>
      <w:r>
        <w:rPr>
          <w:sz w:val="28"/>
        </w:rPr>
        <w:t>Кузбасса «Об областном бюджете на 2026 год и плановый период 2027 и 2028 годов», проектом бюджета округа предусмотрены безвоз</w:t>
      </w:r>
      <w:r>
        <w:rPr>
          <w:sz w:val="28"/>
        </w:rPr>
        <w:t>мездные поступления в виде дотации, субсидии, субвенции на 2026 год в сумме 990,6 млн. руб., на 2027 год - 1000,5 млн. руб., на 2028 год - 1001,2 млн. руб.</w:t>
      </w:r>
    </w:p>
    <w:p w14:paraId="26000000">
      <w:pPr>
        <w:widowControl w:val="0"/>
        <w:ind w:firstLine="709" w:left="0"/>
        <w:jc w:val="both"/>
        <w:rPr>
          <w:sz w:val="28"/>
        </w:rPr>
      </w:pPr>
    </w:p>
    <w:p w14:paraId="27000000">
      <w:pPr>
        <w:widowControl w:val="0"/>
        <w:ind w:firstLine="709" w:left="0"/>
        <w:jc w:val="both"/>
        <w:rPr>
          <w:sz w:val="28"/>
        </w:rPr>
      </w:pPr>
    </w:p>
    <w:p w14:paraId="28000000">
      <w:pPr>
        <w:widowControl w:val="0"/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Расходы</w:t>
      </w:r>
    </w:p>
    <w:p w14:paraId="29000000">
      <w:pPr>
        <w:widowControl w:val="0"/>
        <w:ind w:firstLine="709" w:left="0"/>
        <w:jc w:val="both"/>
        <w:rPr>
          <w:sz w:val="28"/>
        </w:rPr>
      </w:pPr>
    </w:p>
    <w:p w14:paraId="2A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Расходная часть бюджета на 2026 год и плановый период 2027 и 2028 годов сформирована:</w:t>
      </w:r>
    </w:p>
    <w:p w14:paraId="2B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исходя из объема действующих расходных обязатель</w:t>
      </w:r>
      <w:r>
        <w:rPr>
          <w:sz w:val="28"/>
        </w:rPr>
        <w:t>ств в 2025 году, с учетом планируемого сокращения действующих расходных обязательств;</w:t>
      </w:r>
    </w:p>
    <w:p w14:paraId="2C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- с учетом безусловного исполнения всех принятых публичных нормативных обязательств;</w:t>
      </w:r>
    </w:p>
    <w:p w14:paraId="2D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- сохранения мер</w:t>
      </w:r>
      <w:r>
        <w:rPr>
          <w:sz w:val="28"/>
        </w:rPr>
        <w:t xml:space="preserve"> социальной поддержки населения с применением принципа адресности и нуждаемости;</w:t>
      </w:r>
    </w:p>
    <w:p w14:paraId="2E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 учетом увеличения минимального размера оплаты труда (МРОТ)</w:t>
      </w:r>
      <w:r>
        <w:rPr>
          <w:sz w:val="28"/>
        </w:rPr>
        <w:t>.</w:t>
      </w:r>
    </w:p>
    <w:p w14:paraId="2F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Общий объем расходных обязательств составляет:</w:t>
      </w:r>
    </w:p>
    <w:p w14:paraId="30000000">
      <w:pPr>
        <w:widowControl w:val="0"/>
        <w:numPr>
          <w:ilvl w:val="0"/>
          <w:numId w:val="1"/>
        </w:numPr>
        <w:ind/>
        <w:jc w:val="both"/>
        <w:rPr>
          <w:sz w:val="28"/>
        </w:rPr>
      </w:pPr>
      <w:r>
        <w:rPr>
          <w:sz w:val="28"/>
        </w:rPr>
        <w:t>на 2026 год в сумме 1363,97 млн. руб.;</w:t>
      </w:r>
    </w:p>
    <w:p w14:paraId="31000000">
      <w:pPr>
        <w:widowControl w:val="0"/>
        <w:numPr>
          <w:ilvl w:val="0"/>
          <w:numId w:val="2"/>
        </w:numPr>
        <w:ind/>
        <w:jc w:val="both"/>
        <w:rPr>
          <w:sz w:val="28"/>
        </w:rPr>
      </w:pPr>
      <w:r>
        <w:rPr>
          <w:sz w:val="28"/>
        </w:rPr>
        <w:t>на 2027 год в сумме 1371,35 млн. руб.;</w:t>
      </w:r>
    </w:p>
    <w:p w14:paraId="32000000">
      <w:pPr>
        <w:widowControl w:val="0"/>
        <w:numPr>
          <w:ilvl w:val="0"/>
          <w:numId w:val="2"/>
        </w:numPr>
        <w:ind/>
        <w:jc w:val="both"/>
        <w:rPr>
          <w:sz w:val="28"/>
        </w:rPr>
      </w:pPr>
      <w:r>
        <w:rPr>
          <w:sz w:val="28"/>
        </w:rPr>
        <w:t>на 2028 год в сумме 1387,02 млн. руб.</w:t>
      </w:r>
    </w:p>
    <w:p w14:paraId="33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В проекте бюджета предусмотрены средства на реализацию национальных проектов, направленных на достижение соответствующих результатов реализации федеральных проектов, обеспечивающих достижение национальных целей, поставленных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 Общий объем ассигнований, предусмотренный на реализацию национальных проектов в Крапивинском муниципальном округе</w:t>
      </w:r>
      <w:r>
        <w:rPr>
          <w:sz w:val="28"/>
        </w:rPr>
        <w:t>,</w:t>
      </w:r>
      <w:r>
        <w:rPr>
          <w:sz w:val="28"/>
        </w:rPr>
        <w:t xml:space="preserve"> представлен в таблице1.</w:t>
      </w:r>
    </w:p>
    <w:p w14:paraId="34000000">
      <w:pPr>
        <w:widowControl w:val="0"/>
        <w:ind w:firstLine="709" w:left="0"/>
        <w:jc w:val="both"/>
        <w:rPr>
          <w:sz w:val="28"/>
        </w:rPr>
      </w:pPr>
    </w:p>
    <w:p w14:paraId="35000000">
      <w:pPr>
        <w:widowControl w:val="0"/>
        <w:ind w:firstLine="709" w:left="0"/>
        <w:jc w:val="both"/>
        <w:rPr>
          <w:sz w:val="28"/>
        </w:rPr>
      </w:pPr>
    </w:p>
    <w:p w14:paraId="36000000">
      <w:pPr>
        <w:widowControl w:val="0"/>
        <w:ind w:firstLine="709" w:left="0"/>
        <w:jc w:val="right"/>
      </w:pPr>
      <w:r>
        <w:t>тыс. рублей</w:t>
      </w:r>
    </w:p>
    <w:tbl>
      <w:tblPr>
        <w:tblStyle w:val="Style_2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94"/>
        <w:gridCol w:w="1543"/>
        <w:gridCol w:w="1543"/>
        <w:gridCol w:w="1506"/>
      </w:tblGrid>
      <w:tr>
        <w:tc>
          <w:tcPr>
            <w:tcW w:type="dxa" w:w="4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widowControl w:val="0"/>
              <w:ind w:firstLine="0" w:left="0"/>
              <w:contextualSpacing w:val="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показателя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widowControl w:val="0"/>
              <w:ind w:firstLine="0" w:left="0"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  <w:r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widowControl w:val="0"/>
              <w:ind w:firstLine="0" w:left="0"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2027</w:t>
            </w:r>
            <w:r>
              <w:rPr>
                <w:rFonts w:ascii="Times New Roman" w:hAnsi="Times New Roman"/>
                <w:sz w:val="28"/>
              </w:rPr>
              <w:t xml:space="preserve"> год</w:t>
            </w:r>
          </w:p>
        </w:tc>
        <w:tc>
          <w:tcPr>
            <w:tcW w:type="dxa" w:w="1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widowControl w:val="0"/>
              <w:ind w:firstLine="0" w:left="0"/>
              <w:contextualSpacing w:val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2028</w:t>
            </w:r>
            <w:r>
              <w:rPr>
                <w:rFonts w:ascii="Times New Roman" w:hAnsi="Times New Roman"/>
                <w:sz w:val="28"/>
              </w:rPr>
              <w:t xml:space="preserve"> год</w:t>
            </w:r>
          </w:p>
        </w:tc>
      </w:tr>
      <w:tr>
        <w:trPr>
          <w:trHeight w:hRule="atLeast" w:val="443"/>
        </w:trPr>
        <w:tc>
          <w:tcPr>
            <w:tcW w:type="dxa" w:w="4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widowControl w:val="0"/>
              <w:ind w:firstLine="0" w:left="0" w:right="-108"/>
              <w:contextualSpacing w:val="1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Всего по национальным проектам 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widowControl w:val="0"/>
              <w:ind/>
              <w:jc w:val="right"/>
              <w:rPr>
                <w:b w:val="1"/>
              </w:rPr>
            </w:pPr>
            <w:r>
              <w:rPr>
                <w:b w:val="1"/>
              </w:rPr>
              <w:t>50570,6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widowControl w:val="0"/>
              <w:ind/>
              <w:jc w:val="right"/>
              <w:rPr>
                <w:b w:val="1"/>
              </w:rPr>
            </w:pPr>
            <w:r>
              <w:rPr>
                <w:b w:val="1"/>
              </w:rPr>
              <w:t>49866,7</w:t>
            </w:r>
          </w:p>
        </w:tc>
        <w:tc>
          <w:tcPr>
            <w:tcW w:type="dxa" w:w="1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widowControl w:val="0"/>
              <w:ind/>
              <w:jc w:val="right"/>
              <w:rPr>
                <w:b w:val="1"/>
              </w:rPr>
            </w:pPr>
            <w:r>
              <w:rPr>
                <w:b w:val="1"/>
              </w:rPr>
              <w:t>54134,6</w:t>
            </w:r>
          </w:p>
        </w:tc>
      </w:tr>
      <w:tr>
        <w:trPr>
          <w:trHeight w:hRule="atLeast" w:val="443"/>
        </w:trPr>
        <w:tc>
          <w:tcPr>
            <w:tcW w:type="dxa" w:w="4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widowControl w:val="0"/>
              <w:ind w:firstLine="0" w:left="0" w:right="-108"/>
              <w:contextualSpacing w:val="1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межбюджетные трансферты из областного бюджета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widowControl w:val="0"/>
              <w:ind/>
              <w:jc w:val="right"/>
              <w:rPr>
                <w:b w:val="0"/>
              </w:rPr>
            </w:pPr>
            <w:r>
              <w:rPr>
                <w:b w:val="0"/>
              </w:rPr>
              <w:t>50380,0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widowControl w:val="0"/>
              <w:ind/>
              <w:jc w:val="right"/>
              <w:rPr>
                <w:b w:val="0"/>
              </w:rPr>
            </w:pPr>
            <w:r>
              <w:rPr>
                <w:b w:val="0"/>
              </w:rPr>
              <w:t>49743,5</w:t>
            </w:r>
          </w:p>
        </w:tc>
        <w:tc>
          <w:tcPr>
            <w:tcW w:type="dxa" w:w="1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widowControl w:val="0"/>
              <w:ind/>
              <w:jc w:val="right"/>
              <w:rPr>
                <w:b w:val="0"/>
              </w:rPr>
            </w:pPr>
            <w:r>
              <w:rPr>
                <w:b w:val="0"/>
              </w:rPr>
              <w:t>54010,0</w:t>
            </w:r>
          </w:p>
        </w:tc>
      </w:tr>
      <w:tr>
        <w:tc>
          <w:tcPr>
            <w:tcW w:type="dxa" w:w="4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widowControl w:val="0"/>
              <w:ind w:firstLine="0" w:left="0" w:right="-108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Реализация мероприятий национального проекта «Молодежь и дети»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widowControl w:val="0"/>
              <w:ind/>
              <w:jc w:val="right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35641,5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widowControl w:val="0"/>
              <w:ind/>
              <w:jc w:val="right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36780,2</w:t>
            </w:r>
          </w:p>
        </w:tc>
        <w:tc>
          <w:tcPr>
            <w:tcW w:type="dxa" w:w="1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widowControl w:val="0"/>
              <w:ind/>
              <w:jc w:val="right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36824,5</w:t>
            </w:r>
          </w:p>
        </w:tc>
      </w:tr>
      <w:tr>
        <w:tc>
          <w:tcPr>
            <w:tcW w:type="dxa" w:w="4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widowControl w:val="0"/>
              <w:ind w:firstLine="0" w:left="0" w:right="-108"/>
              <w:contextualSpacing w:val="1"/>
              <w:rPr>
                <w:rFonts w:ascii="Times New Roman" w:hAnsi="Times New Roman"/>
                <w:b w:val="1"/>
                <w:i w:val="1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sz w:val="24"/>
              </w:rPr>
              <w:t>Региональный проект «Педагоги и наставники (Кемеровская область - Кузбасс)»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sz w:val="24"/>
              </w:rPr>
              <w:t>(межбюджетный трансферт из областного бюджета)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widowControl w:val="0"/>
              <w:ind/>
              <w:jc w:val="right"/>
              <w:rPr>
                <w:b w:val="1"/>
                <w:i w:val="1"/>
                <w:sz w:val="26"/>
              </w:rPr>
            </w:pPr>
            <w:r>
              <w:rPr>
                <w:b w:val="1"/>
                <w:i w:val="1"/>
                <w:sz w:val="26"/>
              </w:rPr>
              <w:t>35641,5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widowControl w:val="0"/>
              <w:ind/>
              <w:jc w:val="right"/>
              <w:rPr>
                <w:b w:val="1"/>
                <w:i w:val="1"/>
                <w:sz w:val="26"/>
              </w:rPr>
            </w:pPr>
            <w:r>
              <w:rPr>
                <w:b w:val="1"/>
                <w:i w:val="1"/>
                <w:sz w:val="26"/>
              </w:rPr>
              <w:t>36780,2</w:t>
            </w:r>
          </w:p>
        </w:tc>
        <w:tc>
          <w:tcPr>
            <w:tcW w:type="dxa" w:w="1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widowControl w:val="0"/>
              <w:ind/>
              <w:jc w:val="right"/>
              <w:rPr>
                <w:b w:val="1"/>
                <w:i w:val="1"/>
                <w:sz w:val="26"/>
              </w:rPr>
            </w:pPr>
            <w:r>
              <w:rPr>
                <w:b w:val="1"/>
                <w:i w:val="1"/>
                <w:sz w:val="26"/>
              </w:rPr>
              <w:t>36824,5</w:t>
            </w:r>
          </w:p>
        </w:tc>
      </w:tr>
      <w:tr>
        <w:tc>
          <w:tcPr>
            <w:tcW w:type="dxa" w:w="4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widowControl w:val="0"/>
              <w:ind w:firstLine="0" w:left="0" w:right="-108"/>
              <w:contextualSpacing w:val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Реализация мероприятий национального проекта «Семья»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widowControl w:val="0"/>
              <w:ind/>
              <w:jc w:val="right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8574,8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widowControl w:val="0"/>
              <w:ind/>
              <w:jc w:val="right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8978,5</w:t>
            </w:r>
          </w:p>
        </w:tc>
        <w:tc>
          <w:tcPr>
            <w:tcW w:type="dxa" w:w="1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widowControl w:val="0"/>
              <w:ind/>
              <w:jc w:val="right"/>
              <w:rPr>
                <w:b w:val="1"/>
                <w:sz w:val="26"/>
              </w:rPr>
            </w:pPr>
            <w:r>
              <w:rPr>
                <w:b w:val="1"/>
                <w:sz w:val="26"/>
              </w:rPr>
              <w:t>13156,0</w:t>
            </w:r>
          </w:p>
        </w:tc>
      </w:tr>
      <w:tr>
        <w:tc>
          <w:tcPr>
            <w:tcW w:type="dxa" w:w="4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Региональный проект «Многодетная семья» </w:t>
            </w:r>
            <w:r>
              <w:rPr>
                <w:b w:val="0"/>
                <w:i w:val="1"/>
              </w:rPr>
              <w:t>(</w:t>
            </w:r>
            <w:r>
              <w:rPr>
                <w:b w:val="0"/>
                <w:i w:val="0"/>
              </w:rPr>
              <w:t>межбюджетный трансферт из областного бюджета)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widowControl w:val="0"/>
              <w:ind/>
              <w:jc w:val="right"/>
              <w:rPr>
                <w:b w:val="1"/>
                <w:i w:val="1"/>
                <w:sz w:val="26"/>
              </w:rPr>
            </w:pPr>
            <w:r>
              <w:rPr>
                <w:b w:val="1"/>
                <w:i w:val="1"/>
                <w:sz w:val="26"/>
              </w:rPr>
              <w:t>4274,3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widowControl w:val="0"/>
              <w:ind/>
              <w:jc w:val="right"/>
              <w:rPr>
                <w:b w:val="1"/>
                <w:i w:val="1"/>
                <w:sz w:val="26"/>
              </w:rPr>
            </w:pPr>
            <w:r>
              <w:rPr>
                <w:b w:val="1"/>
                <w:i w:val="1"/>
                <w:sz w:val="26"/>
              </w:rPr>
              <w:t>4274,3</w:t>
            </w:r>
          </w:p>
        </w:tc>
        <w:tc>
          <w:tcPr>
            <w:tcW w:type="dxa" w:w="1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widowControl w:val="0"/>
              <w:ind/>
              <w:jc w:val="right"/>
              <w:rPr>
                <w:b w:val="1"/>
                <w:i w:val="1"/>
                <w:sz w:val="26"/>
              </w:rPr>
            </w:pPr>
            <w:r>
              <w:rPr>
                <w:b w:val="1"/>
                <w:i w:val="1"/>
                <w:sz w:val="26"/>
              </w:rPr>
              <w:t>4274,3</w:t>
            </w:r>
          </w:p>
        </w:tc>
      </w:tr>
      <w:tr>
        <w:tc>
          <w:tcPr>
            <w:tcW w:type="dxa" w:w="4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Региональный проект «Старшее поколение» </w:t>
            </w:r>
            <w:r>
              <w:rPr>
                <w:b w:val="0"/>
                <w:i w:val="1"/>
              </w:rPr>
              <w:t>(</w:t>
            </w:r>
            <w:r>
              <w:rPr>
                <w:b w:val="0"/>
                <w:i w:val="0"/>
              </w:rPr>
              <w:t>межбюджетный трансферт из областного бюджета)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widowControl w:val="0"/>
              <w:ind/>
              <w:jc w:val="right"/>
              <w:rPr>
                <w:b w:val="1"/>
                <w:i w:val="1"/>
                <w:sz w:val="26"/>
              </w:rPr>
            </w:pPr>
            <w:r>
              <w:rPr>
                <w:b w:val="1"/>
                <w:i w:val="1"/>
                <w:sz w:val="26"/>
              </w:rPr>
              <w:t>4300,5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widowControl w:val="0"/>
              <w:ind/>
              <w:jc w:val="right"/>
              <w:rPr>
                <w:b w:val="1"/>
                <w:i w:val="1"/>
                <w:sz w:val="26"/>
              </w:rPr>
            </w:pPr>
            <w:r>
              <w:rPr>
                <w:b w:val="1"/>
                <w:i w:val="1"/>
                <w:sz w:val="26"/>
              </w:rPr>
              <w:t>4704,2</w:t>
            </w:r>
          </w:p>
        </w:tc>
        <w:tc>
          <w:tcPr>
            <w:tcW w:type="dxa" w:w="1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widowControl w:val="0"/>
              <w:ind/>
              <w:jc w:val="right"/>
              <w:rPr>
                <w:b w:val="1"/>
                <w:i w:val="1"/>
                <w:sz w:val="26"/>
              </w:rPr>
            </w:pPr>
            <w:r>
              <w:rPr>
                <w:b w:val="1"/>
                <w:i w:val="1"/>
                <w:sz w:val="26"/>
              </w:rPr>
              <w:t>8881,7</w:t>
            </w:r>
          </w:p>
        </w:tc>
      </w:tr>
      <w:tr>
        <w:trPr>
          <w:trHeight w:hRule="atLeast" w:val="217"/>
        </w:trPr>
        <w:tc>
          <w:tcPr>
            <w:tcW w:type="dxa" w:w="4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rPr>
                <w:b w:val="1"/>
                <w:i w:val="1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Реализация мероприятий национального проекта «Инфраструктура для жизни»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widowControl w:val="0"/>
              <w:ind/>
              <w:jc w:val="right"/>
              <w:rPr>
                <w:b w:val="1"/>
                <w:i w:val="0"/>
                <w:sz w:val="26"/>
              </w:rPr>
            </w:pPr>
            <w:r>
              <w:rPr>
                <w:b w:val="1"/>
                <w:i w:val="0"/>
                <w:sz w:val="26"/>
              </w:rPr>
              <w:t>6354,3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widowControl w:val="0"/>
              <w:ind/>
              <w:jc w:val="right"/>
              <w:rPr>
                <w:b w:val="1"/>
                <w:i w:val="0"/>
                <w:sz w:val="26"/>
              </w:rPr>
            </w:pPr>
            <w:r>
              <w:rPr>
                <w:b w:val="1"/>
                <w:i w:val="0"/>
                <w:sz w:val="26"/>
              </w:rPr>
              <w:t>4108,0</w:t>
            </w:r>
          </w:p>
        </w:tc>
        <w:tc>
          <w:tcPr>
            <w:tcW w:type="dxa" w:w="1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widowControl w:val="0"/>
              <w:ind/>
              <w:jc w:val="right"/>
              <w:rPr>
                <w:b w:val="1"/>
                <w:i w:val="0"/>
                <w:sz w:val="26"/>
              </w:rPr>
            </w:pPr>
            <w:r>
              <w:rPr>
                <w:b w:val="1"/>
                <w:i w:val="0"/>
                <w:sz w:val="26"/>
              </w:rPr>
              <w:t>4154,1</w:t>
            </w:r>
          </w:p>
        </w:tc>
      </w:tr>
      <w:tr>
        <w:trPr>
          <w:trHeight w:hRule="atLeast" w:val="217"/>
        </w:trPr>
        <w:tc>
          <w:tcPr>
            <w:tcW w:type="dxa" w:w="4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Региональный проект «Формирование комфортной городской среды»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widowControl w:val="0"/>
              <w:ind/>
              <w:jc w:val="right"/>
              <w:rPr>
                <w:b w:val="1"/>
                <w:i w:val="1"/>
                <w:sz w:val="26"/>
              </w:rPr>
            </w:pPr>
            <w:r>
              <w:rPr>
                <w:b w:val="1"/>
                <w:i w:val="1"/>
                <w:sz w:val="26"/>
              </w:rPr>
              <w:t>6354,3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widowControl w:val="0"/>
              <w:ind/>
              <w:jc w:val="right"/>
              <w:rPr>
                <w:b w:val="1"/>
                <w:i w:val="1"/>
                <w:sz w:val="26"/>
              </w:rPr>
            </w:pPr>
            <w:r>
              <w:rPr>
                <w:b w:val="1"/>
                <w:i w:val="1"/>
                <w:sz w:val="26"/>
              </w:rPr>
              <w:t>4108,0</w:t>
            </w:r>
          </w:p>
        </w:tc>
        <w:tc>
          <w:tcPr>
            <w:tcW w:type="dxa" w:w="1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widowControl w:val="0"/>
              <w:ind/>
              <w:jc w:val="right"/>
              <w:rPr>
                <w:b w:val="1"/>
                <w:i w:val="1"/>
                <w:sz w:val="26"/>
              </w:rPr>
            </w:pPr>
            <w:r>
              <w:rPr>
                <w:b w:val="1"/>
                <w:i w:val="1"/>
                <w:sz w:val="26"/>
              </w:rPr>
              <w:t>4154,1</w:t>
            </w:r>
          </w:p>
        </w:tc>
      </w:tr>
      <w:tr>
        <w:tc>
          <w:tcPr>
            <w:tcW w:type="dxa" w:w="4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rPr>
                <w:b w:val="1"/>
                <w:i w:val="1"/>
              </w:rPr>
            </w:pPr>
            <w:r>
              <w:rPr>
                <w:rFonts w:ascii="Times New Roman" w:hAnsi="Times New Roman"/>
                <w:b w:val="0"/>
                <w:sz w:val="24"/>
              </w:rPr>
              <w:t>межбюджетные трансферты из областного бюджета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widowControl w:val="0"/>
              <w:ind/>
              <w:jc w:val="right"/>
              <w:rPr>
                <w:b w:val="0"/>
                <w:i w:val="0"/>
                <w:sz w:val="26"/>
              </w:rPr>
            </w:pPr>
            <w:r>
              <w:rPr>
                <w:b w:val="0"/>
                <w:i w:val="0"/>
                <w:sz w:val="26"/>
              </w:rPr>
              <w:t>6163,7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widowControl w:val="0"/>
              <w:ind/>
              <w:jc w:val="right"/>
              <w:rPr>
                <w:b w:val="0"/>
                <w:i w:val="0"/>
                <w:sz w:val="26"/>
              </w:rPr>
            </w:pPr>
            <w:r>
              <w:rPr>
                <w:b w:val="0"/>
                <w:i w:val="0"/>
                <w:sz w:val="26"/>
              </w:rPr>
              <w:t>3984,8</w:t>
            </w:r>
          </w:p>
        </w:tc>
        <w:tc>
          <w:tcPr>
            <w:tcW w:type="dxa" w:w="1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widowControl w:val="0"/>
              <w:ind/>
              <w:jc w:val="right"/>
              <w:rPr>
                <w:b w:val="0"/>
                <w:i w:val="0"/>
                <w:sz w:val="26"/>
              </w:rPr>
            </w:pPr>
            <w:r>
              <w:rPr>
                <w:b w:val="0"/>
                <w:i w:val="0"/>
                <w:sz w:val="26"/>
              </w:rPr>
              <w:t>4029,5</w:t>
            </w:r>
          </w:p>
        </w:tc>
      </w:tr>
      <w:tr>
        <w:tc>
          <w:tcPr>
            <w:tcW w:type="dxa" w:w="4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средства местного бюджета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widowControl w:val="0"/>
              <w:ind/>
              <w:jc w:val="right"/>
              <w:rPr>
                <w:b w:val="0"/>
                <w:i w:val="0"/>
                <w:sz w:val="26"/>
              </w:rPr>
            </w:pPr>
            <w:r>
              <w:rPr>
                <w:b w:val="0"/>
                <w:i w:val="0"/>
                <w:sz w:val="26"/>
              </w:rPr>
              <w:t>190,6</w:t>
            </w:r>
          </w:p>
        </w:tc>
        <w:tc>
          <w:tcPr>
            <w:tcW w:type="dxa" w:w="15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widowControl w:val="0"/>
              <w:ind/>
              <w:jc w:val="right"/>
              <w:rPr>
                <w:b w:val="0"/>
                <w:i w:val="0"/>
                <w:sz w:val="26"/>
              </w:rPr>
            </w:pPr>
            <w:r>
              <w:rPr>
                <w:b w:val="0"/>
                <w:i w:val="0"/>
                <w:sz w:val="26"/>
              </w:rPr>
              <w:t>123,2</w:t>
            </w:r>
          </w:p>
        </w:tc>
        <w:tc>
          <w:tcPr>
            <w:tcW w:type="dxa" w:w="1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widowControl w:val="0"/>
              <w:ind/>
              <w:jc w:val="right"/>
              <w:rPr>
                <w:b w:val="0"/>
                <w:i w:val="0"/>
                <w:sz w:val="26"/>
              </w:rPr>
            </w:pPr>
            <w:r>
              <w:rPr>
                <w:b w:val="0"/>
                <w:i w:val="0"/>
                <w:sz w:val="26"/>
              </w:rPr>
              <w:t>124,6</w:t>
            </w:r>
          </w:p>
        </w:tc>
      </w:tr>
    </w:tbl>
    <w:p w14:paraId="67000000">
      <w:pPr>
        <w:widowControl w:val="0"/>
        <w:ind w:firstLine="709" w:left="0"/>
        <w:jc w:val="both"/>
        <w:rPr>
          <w:sz w:val="28"/>
        </w:rPr>
      </w:pPr>
    </w:p>
    <w:p w14:paraId="68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Реализация национальных проектов осуществляется в рамках утвержденных муниципальных программ Крапивинского муниципального округа.</w:t>
      </w:r>
    </w:p>
    <w:p w14:paraId="69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z w:val="28"/>
        </w:rPr>
        <w:t xml:space="preserve"> постановлением администрации Крапивинского муниципального округа от 18.06.2025 №680 «Об утверждении перечня муниципальных программ Крапивинского муниципального округа, реализация которых планируется в 2026 году и плановом периоде 2027 и 2028 годов» (в ред. от 01.11.2025 №1214), предусмотрено фи</w:t>
      </w:r>
      <w:r>
        <w:rPr>
          <w:sz w:val="28"/>
        </w:rPr>
        <w:t xml:space="preserve">нансирование 18 муниципальных программ, общий объем </w:t>
      </w:r>
      <w:r>
        <w:rPr>
          <w:sz w:val="28"/>
        </w:rPr>
        <w:t>расходных обязательств</w:t>
      </w:r>
      <w:r>
        <w:rPr>
          <w:sz w:val="28"/>
        </w:rPr>
        <w:t xml:space="preserve"> на реализацию которых составит:</w:t>
      </w:r>
    </w:p>
    <w:p w14:paraId="6A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- на 2026 год - 1359,52 млн. руб.;</w:t>
      </w:r>
    </w:p>
    <w:p w14:paraId="6B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- на 2027 год - 1352,95 млн. руб.;</w:t>
      </w:r>
    </w:p>
    <w:p w14:paraId="6C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- на 2028 год - 1351,22 млн. руб</w:t>
      </w:r>
      <w:r>
        <w:rPr>
          <w:sz w:val="28"/>
        </w:rPr>
        <w:t>.</w:t>
      </w:r>
    </w:p>
    <w:p w14:paraId="6D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Доля расходов в рамках программ составляет на 2026 год -</w:t>
      </w:r>
      <w:r>
        <w:rPr>
          <w:sz w:val="28"/>
        </w:rPr>
        <w:t xml:space="preserve"> 99,67%, на 2027 год – 98,66%, на 2027 год – 97,42%.</w:t>
      </w:r>
    </w:p>
    <w:p w14:paraId="6E000000">
      <w:pPr>
        <w:widowControl w:val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реализац</w:t>
      </w:r>
      <w:r>
        <w:rPr>
          <w:rFonts w:ascii="Times New Roman" w:hAnsi="Times New Roman"/>
          <w:sz w:val="28"/>
        </w:rPr>
        <w:t xml:space="preserve">ию муниципальных программ </w:t>
      </w:r>
      <w:r>
        <w:rPr>
          <w:rFonts w:ascii="Times New Roman" w:hAnsi="Times New Roman"/>
          <w:sz w:val="28"/>
        </w:rPr>
        <w:t xml:space="preserve">в 2026 - 2028 годах </w:t>
      </w:r>
      <w:r>
        <w:rPr>
          <w:rFonts w:ascii="Times New Roman" w:hAnsi="Times New Roman"/>
          <w:sz w:val="28"/>
        </w:rPr>
        <w:t>предусмотрены бюджетные ассигнования в</w:t>
      </w:r>
      <w:r>
        <w:rPr>
          <w:rFonts w:ascii="Times New Roman" w:hAnsi="Times New Roman"/>
          <w:sz w:val="28"/>
        </w:rPr>
        <w:t xml:space="preserve"> представленные в таблице 2.</w:t>
      </w:r>
    </w:p>
    <w:p w14:paraId="6F000000">
      <w:pPr>
        <w:widowControl w:val="0"/>
        <w:ind w:firstLine="708" w:left="0"/>
        <w:jc w:val="both"/>
        <w:rPr>
          <w:rFonts w:ascii="Times New Roman" w:hAnsi="Times New Roman"/>
          <w:sz w:val="28"/>
        </w:rPr>
      </w:pPr>
    </w:p>
    <w:p w14:paraId="70000000">
      <w:pPr>
        <w:widowControl w:val="0"/>
        <w:ind w:firstLine="0" w:left="720"/>
        <w:contextualSpacing w:val="1"/>
        <w:jc w:val="right"/>
      </w:pPr>
      <w:r>
        <w:t>Таблица 2</w:t>
      </w:r>
    </w:p>
    <w:tbl>
      <w:tblPr>
        <w:tblStyle w:val="Style_2"/>
        <w:tblW w:type="auto" w:w="0"/>
        <w:tblInd w:type="dxa" w:w="20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57"/>
          <w:left w:type="dxa" w:w="0"/>
          <w:bottom w:type="dxa" w:w="57"/>
          <w:right w:type="dxa" w:w="0"/>
        </w:tblCellMar>
      </w:tblPr>
      <w:tblGrid>
        <w:gridCol w:w="4678"/>
        <w:gridCol w:w="1343"/>
        <w:gridCol w:w="1577"/>
        <w:gridCol w:w="1332"/>
      </w:tblGrid>
      <w:tr>
        <w:trPr>
          <w:trHeight w:hRule="atLeast" w:val="752"/>
        </w:trPr>
        <w:tc>
          <w:tcPr>
            <w:tcW w:type="dxa" w:w="46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1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подпрограммы</w:t>
            </w:r>
          </w:p>
        </w:tc>
        <w:tc>
          <w:tcPr>
            <w:tcW w:type="dxa" w:w="425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72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Бюджетные ассигнования, предусмотренные на реализацию муниципальных программ по годам, тыс. рублей</w:t>
            </w:r>
          </w:p>
        </w:tc>
      </w:tr>
      <w:tr>
        <w:trPr>
          <w:trHeight w:hRule="atLeast" w:val="133"/>
        </w:trPr>
        <w:tc>
          <w:tcPr>
            <w:tcW w:type="dxa" w:w="4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/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3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74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2027год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7500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2028 год</w:t>
            </w:r>
          </w:p>
        </w:tc>
      </w:tr>
      <w:tr>
        <w:trPr>
          <w:trHeight w:hRule="atLeast" w:val="339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Муниципальная программа «Организация местного самоуправления в Крапивинском муниципальном округе» 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7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125132,2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78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125333,5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79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126218,1</w:t>
            </w:r>
          </w:p>
        </w:tc>
      </w:tr>
      <w:tr>
        <w:trPr>
          <w:trHeight w:hRule="atLeast" w:val="339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Муниципальная программа «Развитие образования Крапивинского муниципального округа»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B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653814,7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7C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639262,7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7D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633038,1</w:t>
            </w:r>
          </w:p>
        </w:tc>
      </w:tr>
      <w:tr>
        <w:trPr>
          <w:trHeight w:hRule="atLeast" w:val="339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Муниципальная программа «Социальная поддержка населения Крапивинского муниципального округа»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F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86200,3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80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86455,5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81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90633,0</w:t>
            </w:r>
          </w:p>
        </w:tc>
      </w:tr>
      <w:tr>
        <w:trPr>
          <w:trHeight w:hRule="atLeast" w:val="339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2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Муниципальная программа «Культура и национальная политика Крапивинского муниципального округа»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3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162642,7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84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162592,7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85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162592,7</w:t>
            </w:r>
          </w:p>
        </w:tc>
      </w:tr>
      <w:tr>
        <w:trPr>
          <w:trHeight w:hRule="atLeast" w:val="339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6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Муниципальная программа «Развитие физической культуры и спорта в Крапивинском муниципальном округе»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7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19500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88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19500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89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19500</w:t>
            </w:r>
          </w:p>
        </w:tc>
      </w:tr>
      <w:tr>
        <w:trPr>
          <w:trHeight w:hRule="atLeast" w:val="339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A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Муниципальная программа «Имущественный комплекс Крапивинского муниципального округа»,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B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12820,0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8C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10624,0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8D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10624,0</w:t>
            </w:r>
          </w:p>
        </w:tc>
      </w:tr>
      <w:tr>
        <w:trPr>
          <w:trHeight w:hRule="atLeast" w:val="339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Муниципальная программа «Пассажирские перевозки на территории Крапивинского муниципального округа»»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F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23900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90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23900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91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23900</w:t>
            </w:r>
          </w:p>
        </w:tc>
      </w:tr>
      <w:tr>
        <w:trPr>
          <w:trHeight w:hRule="atLeast" w:val="339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Муниципальная программа «Жилищно-коммунальный комплекс, энергосбережение и повышение энергетической эффективности на территории Крапивинского муниципального округа»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3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123307,6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94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134738,5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95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134738,5</w:t>
            </w:r>
          </w:p>
        </w:tc>
      </w:tr>
      <w:tr>
        <w:trPr>
          <w:trHeight w:hRule="atLeast" w:val="339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6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Муниципальная программа «Дорожное хозяйство и национальная экономика на территории Крапивинского муниципального округа», 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7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109655,7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98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110855,7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99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105855,7</w:t>
            </w:r>
          </w:p>
        </w:tc>
      </w:tr>
      <w:tr>
        <w:trPr>
          <w:trHeight w:hRule="atLeast" w:val="339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A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Муниципальная программа «Профилактика экстремизма, терроризма, минимизация и ликвидация последствий его проявлений» на территории Крапивинского муниципального округа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B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4376,8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9C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4797,2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9D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6692,8</w:t>
            </w:r>
          </w:p>
        </w:tc>
      </w:tr>
      <w:tr>
        <w:trPr>
          <w:trHeight w:hRule="atLeast" w:val="339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E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Муниципальная программа «Обеспечение безопасности жизнедеятельности населения  в Крапивинском муниципальном округе»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F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10639,2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A0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10851,0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A1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13342,0</w:t>
            </w:r>
          </w:p>
        </w:tc>
      </w:tr>
      <w:tr>
        <w:trPr>
          <w:trHeight w:hRule="atLeast" w:val="339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2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 xml:space="preserve">Муниципальная программа «Благоустройство на территории Крапивинского муниципального округа, 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3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12498,7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A4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12411,0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A5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12411,0</w:t>
            </w:r>
          </w:p>
        </w:tc>
      </w:tr>
      <w:tr>
        <w:trPr>
          <w:trHeight w:hRule="atLeast" w:val="339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6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Муниципальная программа «Улучшение условий и охраны труда в Крапивинском муниципальном округе»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7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1150,0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A8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1150,0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A9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1150,0</w:t>
            </w:r>
          </w:p>
        </w:tc>
      </w:tr>
      <w:tr>
        <w:trPr>
          <w:trHeight w:hRule="atLeast" w:val="339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Муниципальная программа «Жилище Крапивинского муниципального округа»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B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6033,3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AC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3479,8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AD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3479,8</w:t>
            </w:r>
          </w:p>
        </w:tc>
      </w:tr>
      <w:tr>
        <w:trPr>
          <w:trHeight w:hRule="atLeast" w:val="339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E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Муниципальная программа «Развитие туризма в Крапивинском муниципальном округе»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F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400,0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B0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400,0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B1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400,0</w:t>
            </w:r>
          </w:p>
        </w:tc>
      </w:tr>
      <w:tr>
        <w:trPr>
          <w:trHeight w:hRule="atLeast" w:val="339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2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Муниципальная программа «Формирование современной городской среды в Крапивинском муниципальном округе»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3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6354,3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B4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4108,0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B5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4154,1</w:t>
            </w:r>
          </w:p>
        </w:tc>
      </w:tr>
      <w:tr>
        <w:trPr>
          <w:trHeight w:hRule="atLeast" w:val="339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6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Муниципальная программа «Поддержка социально ориентированных некоммерческих организаций в Крапивинском муниципальном округе»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7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23080,9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B8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19975,0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B9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20005,0</w:t>
            </w:r>
          </w:p>
        </w:tc>
      </w:tr>
      <w:tr>
        <w:trPr>
          <w:trHeight w:hRule="atLeast" w:val="339"/>
        </w:trPr>
        <w:tc>
          <w:tcPr>
            <w:tcW w:type="dxa" w:w="4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A00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Муниципальная программа «Поощрение граждан, организаций за заслуги в социально-экономическом развитии Крапивинского муниципального округа»</w:t>
            </w:r>
          </w:p>
        </w:tc>
        <w:tc>
          <w:tcPr>
            <w:tcW w:type="dxa" w:w="1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B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1416,0</w:t>
            </w:r>
          </w:p>
        </w:tc>
        <w:tc>
          <w:tcPr>
            <w:tcW w:type="dxa" w:w="15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BC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1416,0</w:t>
            </w:r>
          </w:p>
        </w:tc>
        <w:tc>
          <w:tcPr>
            <w:tcW w:type="dxa" w:w="1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57"/>
              <w:left w:type="dxa" w:w="0"/>
              <w:bottom w:type="dxa" w:w="57"/>
              <w:right w:type="dxa" w:w="0"/>
            </w:tcMar>
            <w:vAlign w:val="center"/>
          </w:tcPr>
          <w:p w14:paraId="BD000000">
            <w:pPr>
              <w:widowControl w:val="0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1416,0</w:t>
            </w:r>
          </w:p>
        </w:tc>
      </w:tr>
    </w:tbl>
    <w:p w14:paraId="BE000000">
      <w:pPr>
        <w:widowControl w:val="0"/>
        <w:ind w:firstLine="709" w:left="0"/>
        <w:jc w:val="both"/>
        <w:rPr>
          <w:sz w:val="28"/>
        </w:rPr>
      </w:pPr>
    </w:p>
    <w:p w14:paraId="BF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Наиболее затратные разделы расходной части бюджета округа: </w:t>
      </w:r>
    </w:p>
    <w:p w14:paraId="C0000000">
      <w:pPr>
        <w:widowControl w:val="0"/>
        <w:ind w:firstLine="709" w:left="0"/>
        <w:jc w:val="both"/>
        <w:rPr>
          <w:sz w:val="28"/>
        </w:rPr>
      </w:pPr>
    </w:p>
    <w:p w14:paraId="C1000000">
      <w:pPr>
        <w:widowControl w:val="0"/>
        <w:ind w:firstLine="709" w:left="0"/>
        <w:jc w:val="both"/>
        <w:rPr>
          <w:sz w:val="28"/>
        </w:rPr>
      </w:pPr>
      <w:r>
        <w:rPr>
          <w:b w:val="1"/>
          <w:sz w:val="28"/>
        </w:rPr>
        <w:t>Расходы по разделу «Образование»</w:t>
      </w:r>
      <w:r>
        <w:rPr>
          <w:sz w:val="28"/>
        </w:rPr>
        <w:t xml:space="preserve"> на 2026 год запланированы в сумме 653,8</w:t>
      </w:r>
      <w:r>
        <w:rPr>
          <w:sz w:val="28"/>
        </w:rPr>
        <w:t xml:space="preserve"> млн. рублей или 47,87 % от о</w:t>
      </w:r>
      <w:r>
        <w:rPr>
          <w:sz w:val="28"/>
        </w:rPr>
        <w:t>бщ</w:t>
      </w:r>
      <w:r>
        <w:rPr>
          <w:sz w:val="28"/>
        </w:rPr>
        <w:t>его объема расходов, на 2027 год в сумме 639,26</w:t>
      </w:r>
      <w:r>
        <w:rPr>
          <w:sz w:val="28"/>
        </w:rPr>
        <w:t xml:space="preserve"> млн. рублей, на 2028 год – 633,0 млн. рублей.</w:t>
      </w:r>
    </w:p>
    <w:p w14:paraId="C2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Реализация муниципальной программы «Развитие образования Крапивинского муниципального округа» направлена на решение следующих задач:</w:t>
      </w:r>
    </w:p>
    <w:p w14:paraId="C3000000">
      <w:pPr>
        <w:widowControl w:val="0"/>
        <w:numPr>
          <w:numId w:val="3"/>
        </w:numPr>
        <w:ind w:firstLine="709" w:left="0"/>
        <w:jc w:val="both"/>
        <w:rPr>
          <w:sz w:val="28"/>
        </w:rPr>
      </w:pPr>
      <w:r>
        <w:rPr>
          <w:sz w:val="28"/>
        </w:rPr>
        <w:t>создание образовательной среды, способствующей развитию современных компетенций и навыков у обучающихся;</w:t>
      </w:r>
    </w:p>
    <w:p w14:paraId="C4000000">
      <w:pPr>
        <w:widowControl w:val="0"/>
        <w:numPr>
          <w:numId w:val="3"/>
        </w:numPr>
        <w:ind w:firstLine="709" w:left="0"/>
        <w:jc w:val="both"/>
        <w:rPr>
          <w:sz w:val="28"/>
        </w:rPr>
      </w:pPr>
      <w:r>
        <w:rPr>
          <w:sz w:val="28"/>
        </w:rPr>
        <w:t>внедрение новых образовательных технологий, цифровых учебно-методических комплексов и цифрового образовательного контента, повышение квалификации педагогических работников в области цифровых технологий;</w:t>
      </w:r>
    </w:p>
    <w:p w14:paraId="C5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– совершенствование среды получения общего образования, дополнительного образования, профессионального образования лицами с ограниченными возможностями здоровья и инвалидами в условиях консолидации материально-технического оснащения и кадрового потенциала, совершенствования нормативно - правовой базы и учебно-методического обеспечения</w:t>
      </w:r>
      <w:r>
        <w:rPr>
          <w:sz w:val="28"/>
        </w:rPr>
        <w:t>;</w:t>
      </w:r>
    </w:p>
    <w:p w14:paraId="C6000000">
      <w:pPr>
        <w:widowControl w:val="0"/>
        <w:numPr>
          <w:numId w:val="4"/>
        </w:numPr>
        <w:ind w:firstLine="709" w:left="0"/>
        <w:jc w:val="both"/>
        <w:rPr>
          <w:sz w:val="28"/>
        </w:rPr>
      </w:pPr>
      <w:r>
        <w:rPr>
          <w:sz w:val="28"/>
        </w:rPr>
        <w:t>кадровое обеспечение системы образования, включая цифровизацию процессов, обеспечивающих профессиональное развитие педагогических работников на протяжении всей деятельности, а также развитие системы поддержки и стимулирования педагогических работников;</w:t>
      </w:r>
    </w:p>
    <w:p w14:paraId="C7000000">
      <w:pPr>
        <w:widowControl w:val="0"/>
        <w:numPr>
          <w:numId w:val="4"/>
        </w:numPr>
        <w:ind w:firstLine="709" w:left="0"/>
        <w:jc w:val="both"/>
        <w:rPr>
          <w:sz w:val="28"/>
        </w:rPr>
      </w:pPr>
      <w:r>
        <w:rPr>
          <w:sz w:val="28"/>
        </w:rPr>
        <w:t>увеличение охвата обучающихся качественными услугами дополнительного образования, продолжение задач гражданского образования и патриотического воспитания, формирования у обучающихся правовых, культурных и нравственных ценностей, содействия их научной и творческой активности.</w:t>
      </w:r>
    </w:p>
    <w:p w14:paraId="C8000000">
      <w:pPr>
        <w:widowControl w:val="0"/>
        <w:ind w:firstLine="709" w:left="0"/>
        <w:jc w:val="both"/>
        <w:rPr>
          <w:sz w:val="28"/>
          <w:shd w:fill="FFE779" w:val="clear"/>
        </w:rPr>
      </w:pPr>
    </w:p>
    <w:p w14:paraId="C9000000">
      <w:pPr>
        <w:widowControl w:val="0"/>
        <w:ind w:firstLine="709" w:left="0"/>
        <w:jc w:val="both"/>
        <w:rPr>
          <w:sz w:val="28"/>
        </w:rPr>
      </w:pPr>
      <w:r>
        <w:rPr>
          <w:b w:val="1"/>
          <w:sz w:val="28"/>
        </w:rPr>
        <w:t>Расходы по разделу «Культура»</w:t>
      </w:r>
      <w:r>
        <w:rPr>
          <w:sz w:val="28"/>
        </w:rPr>
        <w:t xml:space="preserve"> запланированы на 2026 год на сумму 162,6 млн. руб. (11,88% от общего объема расходов), на 2027 год – 162,6 млн. руб.; на 2028 год - 162,6 млн. руб.</w:t>
      </w:r>
    </w:p>
    <w:p w14:paraId="CA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Реализация муниципальной программы направлена на решение следующих задач</w:t>
      </w:r>
      <w:r>
        <w:rPr>
          <w:sz w:val="28"/>
        </w:rPr>
        <w:t>:</w:t>
      </w:r>
    </w:p>
    <w:p w14:paraId="CB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создание условий для повышения качества и увеличение числа оказываемых муниципальных услуг населению в сфере культуры и искусства;</w:t>
      </w:r>
    </w:p>
    <w:p w14:paraId="CC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повышение доступности и качества музейных и библиотечных услуг;</w:t>
      </w:r>
    </w:p>
    <w:p w14:paraId="CD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создание условий для гражданск</w:t>
      </w:r>
      <w:r>
        <w:rPr>
          <w:sz w:val="28"/>
        </w:rPr>
        <w:t xml:space="preserve">о-патриотического и духовно-нравственного воспитания, интеллектуального и творческого развития молодежи, реализация ее творческого потенциала, поддержка деятельности молодежных и детских общественных объединений, формирование у молодежи активной жизненной </w:t>
      </w:r>
      <w:r>
        <w:rPr>
          <w:sz w:val="28"/>
        </w:rPr>
        <w:t>позиции, готовности к участию в общественно-политической жизни Крапивинского муниципального округа;</w:t>
      </w:r>
    </w:p>
    <w:p w14:paraId="CE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развитие дополнительного образования в сфере культуры.</w:t>
      </w:r>
    </w:p>
    <w:p w14:paraId="CF000000">
      <w:pPr>
        <w:widowControl w:val="0"/>
        <w:ind w:firstLine="709" w:left="0"/>
        <w:jc w:val="both"/>
        <w:rPr>
          <w:sz w:val="28"/>
        </w:rPr>
      </w:pPr>
    </w:p>
    <w:p w14:paraId="D0000000">
      <w:pPr>
        <w:widowControl w:val="0"/>
        <w:ind w:firstLine="709" w:left="0"/>
        <w:jc w:val="both"/>
        <w:rPr>
          <w:b w:val="1"/>
          <w:sz w:val="28"/>
        </w:rPr>
      </w:pPr>
      <w:r>
        <w:rPr>
          <w:b w:val="1"/>
          <w:sz w:val="28"/>
        </w:rPr>
        <w:t xml:space="preserve">Расходы по разделу «Жилищно - коммунальное хозяйство» </w:t>
      </w:r>
      <w:r>
        <w:rPr>
          <w:sz w:val="28"/>
        </w:rPr>
        <w:t>запланированы на 2026 год в сумме 123,3 млн. руб. (9,02% от общего объема планируемых расходов), на 2027 год - 134,7 млн. руб., на 2028 год - 134,7 млн. руб.</w:t>
      </w:r>
    </w:p>
    <w:p w14:paraId="D1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Реализация муниципальной программы направлена на решение следующих задач</w:t>
      </w:r>
      <w:r>
        <w:rPr>
          <w:sz w:val="28"/>
        </w:rPr>
        <w:t>:</w:t>
      </w:r>
    </w:p>
    <w:p w14:paraId="D2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- повышение уровня модерниза</w:t>
      </w:r>
      <w:r>
        <w:rPr>
          <w:sz w:val="28"/>
        </w:rPr>
        <w:t>ции объектов коммунальной инфраструктуры;</w:t>
      </w:r>
    </w:p>
    <w:p w14:paraId="D3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- обеспечение внедрения новых технологий и технических мероприятий, с целью сокращения потерь тепл</w:t>
      </w:r>
      <w:r>
        <w:rPr>
          <w:sz w:val="28"/>
        </w:rPr>
        <w:t>о-</w:t>
      </w:r>
      <w:r>
        <w:rPr>
          <w:sz w:val="28"/>
        </w:rPr>
        <w:t>, водо- и энергоресурсов;</w:t>
      </w:r>
    </w:p>
    <w:p w14:paraId="D4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- обеспечение реализации вопросов топливно-энергетического комплекса.</w:t>
      </w:r>
    </w:p>
    <w:p w14:paraId="D5000000">
      <w:pPr>
        <w:widowControl w:val="0"/>
        <w:ind w:firstLine="709" w:left="0"/>
        <w:jc w:val="both"/>
        <w:rPr>
          <w:sz w:val="28"/>
        </w:rPr>
      </w:pPr>
    </w:p>
    <w:p w14:paraId="D6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В остальных разделах бюджета предусмотрены расходы для обеспечения деятельности органов местного самоуправления, для решения вопросов по национальной обороне, национальной безопаснос</w:t>
      </w:r>
      <w:r>
        <w:rPr>
          <w:sz w:val="28"/>
        </w:rPr>
        <w:t>ти, правоохранительной деятельности, для обеспечения расходов национальной экономики, для работы СМИ, выполнения других полномочий органов местного самоуправления.</w:t>
      </w:r>
    </w:p>
    <w:p w14:paraId="D7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Общий объем средств на реализацию непрограммных направлений деятельности на 2026 год составляет 4450,0 тыс.рублей, 2027 год – 1200,0 тыс. рублей, 2028 год – 1200,0 тыс.рублей.</w:t>
      </w:r>
    </w:p>
    <w:p w14:paraId="D8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Непрограммную часть расходов бюджета составили бюджетные ассигнования: на единовременную выплату отдельным категориям граждан, принимающим участие в специальной военной операции; оказание социальной помощи членам их семей; резервный фонд администрации и исполнение судебных актов по искам.</w:t>
      </w:r>
    </w:p>
    <w:p w14:paraId="D9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Согласно ст. 184.1 Б</w:t>
      </w:r>
      <w:r>
        <w:rPr>
          <w:sz w:val="28"/>
        </w:rPr>
        <w:t>ю</w:t>
      </w:r>
      <w:r>
        <w:rPr>
          <w:sz w:val="28"/>
        </w:rPr>
        <w:t>джетного Кодекса РФ уст</w:t>
      </w:r>
      <w:r>
        <w:rPr>
          <w:sz w:val="28"/>
        </w:rPr>
        <w:t xml:space="preserve">ановлен объем условно - утвержденных расходов на 2027 год в сумме 17200,0 тыс. руб. (2,52% общего объема расходов бюджета без учета расходов, предусмотренных за счет межбюджетных трансфертов, имеющих целевое назначение); на 2028 год в сумме 34600 </w:t>
      </w:r>
      <w:r>
        <w:rPr>
          <w:sz w:val="28"/>
        </w:rPr>
        <w:t>тыс</w:t>
      </w:r>
      <w:r>
        <w:rPr>
          <w:sz w:val="28"/>
        </w:rPr>
        <w:t>.р</w:t>
      </w:r>
      <w:r>
        <w:rPr>
          <w:sz w:val="28"/>
        </w:rPr>
        <w:t>уб</w:t>
      </w:r>
      <w:r>
        <w:rPr>
          <w:sz w:val="28"/>
        </w:rPr>
        <w:t xml:space="preserve">. </w:t>
      </w:r>
      <w:r>
        <w:rPr>
          <w:sz w:val="28"/>
        </w:rPr>
        <w:t>(5,01% общего объема расходов бюджета без учета расходов, предусмотренных за счет межбюджетных трансфертов, имеющих целевое назначение).</w:t>
      </w:r>
    </w:p>
    <w:p w14:paraId="DA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Муниципальный бюджет на 2026 год сформирован с дефицитом в 9800,0 тыс. руб., дефицит бюджета муниципального округа</w:t>
      </w:r>
      <w:r>
        <w:rPr>
          <w:sz w:val="28"/>
        </w:rPr>
        <w:t xml:space="preserve"> на 2027 год  сформирован 9600,0 тыс.руб., на 2028 год 10200,0 тыс. руб</w:t>
      </w:r>
      <w:r>
        <w:rPr>
          <w:color w:val="C00000"/>
          <w:sz w:val="28"/>
        </w:rPr>
        <w:t>.</w:t>
      </w:r>
      <w:r>
        <w:rPr>
          <w:sz w:val="28"/>
        </w:rPr>
        <w:t>, что меньше 5% от объема доходов бюджета без учета безвозмездных поступлений, предусмотренных статьей 92.1 Бюджетного Кодекса РФ. В качестве источников финансирования бюджета предусмотрено уменьшение ос</w:t>
      </w:r>
      <w:r>
        <w:rPr>
          <w:sz w:val="28"/>
        </w:rPr>
        <w:t>татков денежных средств бюджета муниципального округа, сложившихся на начало финансового года.</w:t>
      </w:r>
    </w:p>
    <w:p w14:paraId="DB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Верхний предел муниципального внутреннего долга Крапивинского муниципального округа запланирован на 2026 год в сумме 0,00 тыс. руб., на 2027 год – 0,00 тыс. руб., на 2028 год – 0,00 тыс. руб., в связи с отсутствием долговых обязательств.</w:t>
      </w:r>
    </w:p>
    <w:p w14:paraId="DC000000">
      <w:pPr>
        <w:widowControl w:val="0"/>
        <w:ind w:firstLine="709" w:left="0"/>
        <w:jc w:val="both"/>
        <w:rPr>
          <w:sz w:val="28"/>
        </w:rPr>
      </w:pPr>
    </w:p>
    <w:p w14:paraId="DD000000">
      <w:pPr>
        <w:widowControl w:val="0"/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Выводы</w:t>
      </w:r>
    </w:p>
    <w:p w14:paraId="DE000000">
      <w:pPr>
        <w:widowControl w:val="0"/>
        <w:ind w:firstLine="709" w:left="0"/>
        <w:jc w:val="center"/>
        <w:rPr>
          <w:b w:val="1"/>
          <w:sz w:val="28"/>
        </w:rPr>
      </w:pPr>
    </w:p>
    <w:p w14:paraId="DF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Проект бюджета Крапивинского муниципального округа на 2026 год и плановый период 2027 и 2028 годов сбалансированный, соответствует нормам бюджетного, налогового и гражданского законодательства Российской Федерации.</w:t>
      </w:r>
    </w:p>
    <w:p w14:paraId="E0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При расчете прогнозируемого объема доход</w:t>
      </w:r>
      <w:r>
        <w:rPr>
          <w:sz w:val="28"/>
        </w:rPr>
        <w:t>ов учитывались принятые изменения налогового и бюджетного законодательства Российской Федерации. Поступление налоговых и неналоговых доходов предусмотрено на основании расчетных</w:t>
      </w:r>
      <w:r>
        <w:rPr>
          <w:sz w:val="28"/>
        </w:rPr>
        <w:t xml:space="preserve"> данных, отчетов и прогнозов, предоставленных администраторами поступлений дох</w:t>
      </w:r>
      <w:r>
        <w:rPr>
          <w:sz w:val="28"/>
        </w:rPr>
        <w:t>одов в бюджет Крапивинского муниципального округа.</w:t>
      </w:r>
    </w:p>
    <w:p w14:paraId="E1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Расходная часть бюджета сформирована исходя из необходимости безусловного исполнения всех принятых публичных нормативных обязательств, сохранением мер социальной поддержки населения с применением принципа </w:t>
      </w:r>
      <w:r>
        <w:rPr>
          <w:sz w:val="28"/>
        </w:rPr>
        <w:t>адресности и нуждаемости, реализации Указов Президента Российской Федерации за счет поступлений налоговых и неналоговых доходов, финансовой помощи из областного бюджета, доходов от предпринимательской и иной, приносящей доход  деятельности казенны</w:t>
      </w:r>
      <w:r>
        <w:rPr>
          <w:sz w:val="28"/>
        </w:rPr>
        <w:t>х учреждений, прочих безвозмездных поступлений.</w:t>
      </w:r>
    </w:p>
    <w:p w14:paraId="E2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>Оснований для отклонения проекта бюджета не установлено.</w:t>
      </w:r>
    </w:p>
    <w:p w14:paraId="E3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sz w:val="28"/>
        </w:rPr>
        <w:t>вышеизложенного</w:t>
      </w:r>
      <w:r>
        <w:rPr>
          <w:sz w:val="28"/>
        </w:rPr>
        <w:t>, контрольно - счетный</w:t>
      </w:r>
      <w:r>
        <w:rPr>
          <w:sz w:val="28"/>
        </w:rPr>
        <w:t xml:space="preserve"> орган предлагает:</w:t>
      </w:r>
    </w:p>
    <w:p w14:paraId="E4000000">
      <w:pPr>
        <w:pStyle w:val="Style_3"/>
        <w:widowControl w:val="0"/>
        <w:numPr>
          <w:ilvl w:val="0"/>
          <w:numId w:val="5"/>
        </w:numPr>
        <w:ind w:firstLine="709" w:left="0"/>
        <w:jc w:val="both"/>
        <w:rPr>
          <w:sz w:val="28"/>
        </w:rPr>
      </w:pPr>
      <w:r>
        <w:rPr>
          <w:sz w:val="28"/>
        </w:rPr>
        <w:t xml:space="preserve">Совету народных депутатов Крапивинского муниципального округа рассмотреть </w:t>
      </w:r>
      <w:r>
        <w:rPr>
          <w:sz w:val="28"/>
        </w:rPr>
        <w:t>и прин</w:t>
      </w:r>
      <w:r>
        <w:rPr>
          <w:sz w:val="28"/>
        </w:rPr>
        <w:t>ять представленный проект бюджета Крапивинского муниципального округа на 2026 год и плановый период 2027 и 2028 годов, а также утвердить основные характеристики бюджета муниципального округа на 2026 год и плановый период 2027 и 2028 годы.</w:t>
      </w:r>
    </w:p>
    <w:p w14:paraId="E5000000">
      <w:pPr>
        <w:pStyle w:val="Style_3"/>
        <w:widowControl w:val="0"/>
        <w:numPr>
          <w:ilvl w:val="0"/>
          <w:numId w:val="5"/>
        </w:numPr>
        <w:ind w:firstLine="709" w:left="0"/>
        <w:jc w:val="both"/>
        <w:rPr>
          <w:sz w:val="28"/>
        </w:rPr>
      </w:pPr>
      <w:r>
        <w:rPr>
          <w:sz w:val="28"/>
        </w:rPr>
        <w:t>Органам местного</w:t>
      </w:r>
      <w:r>
        <w:rPr>
          <w:sz w:val="28"/>
        </w:rPr>
        <w:t xml:space="preserve"> самоуправления, руководителям управлений и учреждений:</w:t>
      </w:r>
    </w:p>
    <w:p w14:paraId="E6000000">
      <w:pPr>
        <w:pStyle w:val="Style_3"/>
        <w:widowControl w:val="0"/>
        <w:ind w:firstLine="709" w:left="0"/>
        <w:jc w:val="both"/>
        <w:rPr>
          <w:sz w:val="28"/>
        </w:rPr>
      </w:pPr>
      <w:r>
        <w:rPr>
          <w:sz w:val="28"/>
        </w:rPr>
        <w:t>- обеспечить реализацию основных направлений налоговой и бюджетной политики;</w:t>
      </w:r>
    </w:p>
    <w:p w14:paraId="E7000000">
      <w:pPr>
        <w:pStyle w:val="Style_3"/>
        <w:widowControl w:val="0"/>
        <w:ind w:firstLine="709" w:left="0"/>
        <w:jc w:val="both"/>
        <w:rPr>
          <w:sz w:val="28"/>
        </w:rPr>
      </w:pPr>
      <w:r>
        <w:rPr>
          <w:sz w:val="28"/>
        </w:rPr>
        <w:t>- осуществлять систематическую работу с налогоплательщиками округа</w:t>
      </w:r>
      <w:r>
        <w:rPr>
          <w:sz w:val="28"/>
        </w:rPr>
        <w:t xml:space="preserve"> по вопросу своевременного осуществления налоговых платежей в бюджет;</w:t>
      </w:r>
    </w:p>
    <w:p w14:paraId="E8000000">
      <w:pPr>
        <w:pStyle w:val="Style_3"/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усилить финансовый контроль за целевым и эффективным расходованием бюджетных средств, недопущению финансовых нарушений;</w:t>
      </w:r>
    </w:p>
    <w:p w14:paraId="E9000000">
      <w:pPr>
        <w:pStyle w:val="Style_3"/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проводить постоянную работу по сокращению неэффективных рас</w:t>
      </w:r>
      <w:r>
        <w:rPr>
          <w:sz w:val="28"/>
        </w:rPr>
        <w:t>ходов, в том числе за счет оптимизации бюджетной сети и эффективности оказания муниципальных услуг;</w:t>
      </w:r>
    </w:p>
    <w:p w14:paraId="EA000000">
      <w:pPr>
        <w:pStyle w:val="Style_3"/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sz w:val="28"/>
        </w:rPr>
        <w:t>активизировать работу по повышению эффективности управления и распоряжения муниципальным имуществом.</w:t>
      </w:r>
    </w:p>
    <w:p w14:paraId="EB000000">
      <w:pPr>
        <w:pStyle w:val="Style_3"/>
        <w:widowControl w:val="0"/>
        <w:ind w:firstLine="0" w:left="709"/>
        <w:jc w:val="both"/>
        <w:rPr>
          <w:sz w:val="28"/>
        </w:rPr>
      </w:pPr>
    </w:p>
    <w:p w14:paraId="EC000000">
      <w:pPr>
        <w:pStyle w:val="Style_3"/>
        <w:widowControl w:val="0"/>
        <w:ind w:firstLine="0" w:left="709"/>
        <w:jc w:val="both"/>
        <w:rPr>
          <w:sz w:val="28"/>
        </w:rPr>
      </w:pPr>
    </w:p>
    <w:p w14:paraId="ED000000">
      <w:pPr>
        <w:pStyle w:val="Style_3"/>
        <w:widowControl w:val="0"/>
        <w:ind w:firstLine="0" w:left="709"/>
        <w:jc w:val="both"/>
        <w:rPr>
          <w:sz w:val="28"/>
        </w:rPr>
      </w:pPr>
    </w:p>
    <w:p w14:paraId="EE000000">
      <w:pPr>
        <w:pStyle w:val="Style_3"/>
        <w:widowControl w:val="0"/>
        <w:ind w:firstLine="0" w:left="709"/>
        <w:jc w:val="both"/>
        <w:rPr>
          <w:sz w:val="28"/>
        </w:rPr>
      </w:pPr>
      <w:r>
        <w:rPr>
          <w:sz w:val="28"/>
        </w:rPr>
        <w:t>Председатель контрольно - счетного органа</w:t>
      </w:r>
    </w:p>
    <w:p w14:paraId="EF000000">
      <w:pPr>
        <w:pStyle w:val="Style_3"/>
        <w:widowControl w:val="0"/>
        <w:ind w:firstLine="0" w:left="709"/>
        <w:jc w:val="both"/>
        <w:rPr>
          <w:sz w:val="28"/>
        </w:rPr>
      </w:pPr>
      <w:r>
        <w:rPr>
          <w:sz w:val="28"/>
        </w:rPr>
        <w:t xml:space="preserve">Крапивинского муниципального округа                     </w:t>
      </w:r>
      <w:r>
        <w:rPr>
          <w:sz w:val="28"/>
        </w:rPr>
        <w:t>Т.Г.Горюнова</w:t>
      </w:r>
    </w:p>
    <w:p w14:paraId="F0000000">
      <w:pPr>
        <w:widowControl w:val="0"/>
        <w:ind w:firstLine="709" w:left="0"/>
        <w:jc w:val="both"/>
        <w:rPr>
          <w:sz w:val="28"/>
        </w:rPr>
      </w:pPr>
    </w:p>
    <w:p w14:paraId="F1000000">
      <w:pPr>
        <w:widowControl w:val="0"/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985" w:right="1134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in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 anchorCtr="true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lvlJc w:val="left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 w:val="0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widowControl w:val="0"/>
        <w:ind w:hanging="360" w:left="720"/>
      </w:pPr>
      <w:rPr>
        <w:rFonts w:ascii="Calibri" w:hAnsi="Calibri"/>
      </w:rPr>
    </w:lvl>
    <w:lvl w:ilvl="1">
      <w:numFmt w:val="bullet"/>
      <w:lvlText w:val="o"/>
      <w:pPr>
        <w:widowControl w:val="0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-"/>
      <w:pPr>
        <w:widowControl w:val="0"/>
        <w:ind w:hanging="360" w:left="2880"/>
      </w:pPr>
      <w:rPr>
        <w:rFonts w:ascii="Calibri" w:hAnsi="Calibri"/>
      </w:rPr>
    </w:lvl>
    <w:lvl w:ilvl="4">
      <w:numFmt w:val="bullet"/>
      <w:lvlText w:val="o"/>
      <w:pPr>
        <w:widowControl w:val="0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-"/>
      <w:pPr>
        <w:widowControl w:val="0"/>
        <w:ind w:hanging="360" w:left="5040"/>
      </w:pPr>
      <w:rPr>
        <w:rFonts w:ascii="Calibri" w:hAnsi="Calibri"/>
      </w:rPr>
    </w:lvl>
    <w:lvl w:ilvl="7">
      <w:numFmt w:val="bullet"/>
      <w:lvlText w:val="o"/>
      <w:pPr>
        <w:widowControl w:val="0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decimal"/>
      <w:lvlText w:val="%1."/>
      <w:lvlJc w:val="left"/>
      <w:pPr>
        <w:widowControl w:val="0"/>
        <w:ind w:hanging="360" w:left="1069"/>
      </w:pPr>
    </w:lvl>
    <w:lvl w:ilvl="1">
      <w:start w:val="1"/>
      <w:numFmt w:val="lowerLetter"/>
      <w:lvlText w:val="%2."/>
      <w:lvlJc w:val="left"/>
      <w:pPr>
        <w:widowControl w:val="0"/>
        <w:ind w:hanging="360" w:left="1789"/>
      </w:pPr>
    </w:lvl>
    <w:lvl w:ilvl="2">
      <w:start w:val="1"/>
      <w:numFmt w:val="lowerRoman"/>
      <w:lvlText w:val="%3."/>
      <w:lvlJc w:val="right"/>
      <w:pPr>
        <w:widowControl w:val="0"/>
        <w:ind w:hanging="180" w:left="2509"/>
      </w:pPr>
    </w:lvl>
    <w:lvl w:ilvl="3">
      <w:start w:val="1"/>
      <w:numFmt w:val="decimal"/>
      <w:lvlText w:val="%4."/>
      <w:lvlJc w:val="left"/>
      <w:pPr>
        <w:widowControl w:val="0"/>
        <w:ind w:hanging="360" w:left="3229"/>
      </w:pPr>
    </w:lvl>
    <w:lvl w:ilvl="4">
      <w:start w:val="1"/>
      <w:numFmt w:val="lowerLetter"/>
      <w:lvlText w:val="%5."/>
      <w:lvlJc w:val="left"/>
      <w:pPr>
        <w:widowControl w:val="0"/>
        <w:ind w:hanging="360" w:left="3949"/>
      </w:pPr>
    </w:lvl>
    <w:lvl w:ilvl="5">
      <w:start w:val="1"/>
      <w:numFmt w:val="lowerRoman"/>
      <w:lvlText w:val="%6."/>
      <w:lvlJc w:val="right"/>
      <w:pPr>
        <w:widowControl w:val="0"/>
        <w:ind w:hanging="180" w:left="4669"/>
      </w:pPr>
    </w:lvl>
    <w:lvl w:ilvl="6">
      <w:start w:val="1"/>
      <w:numFmt w:val="decimal"/>
      <w:lvlText w:val="%7."/>
      <w:lvlJc w:val="left"/>
      <w:pPr>
        <w:widowControl w:val="0"/>
        <w:ind w:hanging="360" w:left="5389"/>
      </w:pPr>
    </w:lvl>
    <w:lvl w:ilvl="7">
      <w:start w:val="1"/>
      <w:numFmt w:val="lowerLetter"/>
      <w:lvlText w:val="%8."/>
      <w:lvlJc w:val="left"/>
      <w:pPr>
        <w:widowControl w:val="0"/>
        <w:ind w:hanging="360" w:left="6109"/>
      </w:pPr>
    </w:lvl>
    <w:lvl w:ilvl="8">
      <w:start w:val="1"/>
      <w:numFmt w:val="lowerRoman"/>
      <w:lvlText w:val="%9."/>
      <w:lvlJc w:val="right"/>
      <w:pPr>
        <w:widowControl w:val="0"/>
        <w:ind w:hanging="180" w:left="682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</w:pPr>
  </w:style>
  <w:style w:styleId="Style_6_ch" w:type="character">
    <w:name w:val="toc 4"/>
    <w:link w:val="Style_6"/>
  </w:style>
  <w:style w:styleId="Style_7" w:type="paragraph">
    <w:name w:val="ConsPlusNonformat"/>
    <w:link w:val="Style_7_ch"/>
    <w:pPr>
      <w:widowControl w:val="0"/>
      <w:ind/>
    </w:pPr>
    <w:rPr>
      <w:rFonts w:ascii="Courier New" w:hAnsi="Courier New"/>
    </w:rPr>
  </w:style>
  <w:style w:styleId="Style_7_ch" w:type="character">
    <w:name w:val="ConsPlusNonformat"/>
    <w:link w:val="Style_7"/>
    <w:rPr>
      <w:rFonts w:ascii="Courier New" w:hAnsi="Courier New"/>
    </w:rPr>
  </w:style>
  <w:style w:styleId="Style_8" w:type="paragraph">
    <w:name w:val="toc 6"/>
    <w:next w:val="Style_4"/>
    <w:link w:val="Style_8_ch"/>
    <w:uiPriority w:val="39"/>
    <w:pPr>
      <w:widowControl w:val="0"/>
      <w:ind w:firstLine="0" w:left="1000"/>
    </w:pPr>
  </w:style>
  <w:style w:styleId="Style_8_ch" w:type="character">
    <w:name w:val="toc 6"/>
    <w:link w:val="Style_8"/>
  </w:style>
  <w:style w:styleId="Style_9" w:type="paragraph">
    <w:name w:val="toc 7"/>
    <w:next w:val="Style_4"/>
    <w:link w:val="Style_9_ch"/>
    <w:uiPriority w:val="39"/>
    <w:pPr>
      <w:widowControl w:val="0"/>
      <w:ind w:firstLine="0" w:left="1200"/>
    </w:pPr>
  </w:style>
  <w:style w:styleId="Style_9_ch" w:type="character">
    <w:name w:val="toc 7"/>
    <w:link w:val="Style_9"/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widowControl w:val="0"/>
      <w:ind/>
      <w:outlineLvl w:val="2"/>
    </w:pPr>
    <w:rPr>
      <w:rFonts w:ascii="XO Thames" w:hAnsi="XO Thames"/>
      <w:b w:val="1"/>
      <w:i w:val="1"/>
    </w:rPr>
  </w:style>
  <w:style w:styleId="Style_12_ch" w:type="character">
    <w:name w:val="heading 3"/>
    <w:link w:val="Style_12"/>
    <w:rPr>
      <w:rFonts w:ascii="XO Thames" w:hAnsi="XO Thames"/>
      <w:b w:val="1"/>
      <w:i w:val="1"/>
    </w:rPr>
  </w:style>
  <w:style w:styleId="Style_13" w:type="paragraph">
    <w:name w:val="blk"/>
    <w:basedOn w:val="Style_10"/>
    <w:link w:val="Style_13_ch"/>
  </w:style>
  <w:style w:styleId="Style_13_ch" w:type="character">
    <w:name w:val="blk"/>
    <w:basedOn w:val="Style_10_ch"/>
    <w:link w:val="Style_13"/>
  </w:style>
  <w:style w:styleId="Style_14" w:type="paragraph">
    <w:name w:val="toc 3"/>
    <w:next w:val="Style_4"/>
    <w:link w:val="Style_14_ch"/>
    <w:uiPriority w:val="39"/>
    <w:pPr>
      <w:widowControl w:val="0"/>
      <w:ind w:firstLine="0" w:left="400"/>
    </w:pPr>
  </w:style>
  <w:style w:styleId="Style_14_ch" w:type="character">
    <w:name w:val="toc 3"/>
    <w:link w:val="Style_14"/>
  </w:style>
  <w:style w:styleId="Style_15" w:type="paragraph">
    <w:name w:val="ConsPlusNormal"/>
    <w:link w:val="Style_15_ch"/>
    <w:pPr>
      <w:widowControl w:val="0"/>
      <w:ind/>
    </w:pPr>
    <w:rPr>
      <w:rFonts w:ascii="Times New Roman" w:hAnsi="Times New Roman"/>
      <w:sz w:val="28"/>
    </w:rPr>
  </w:style>
  <w:style w:styleId="Style_15_ch" w:type="character">
    <w:name w:val="ConsPlusNormal"/>
    <w:link w:val="Style_15"/>
    <w:rPr>
      <w:rFonts w:ascii="Times New Roman" w:hAnsi="Times New Roman"/>
      <w:sz w:val="28"/>
    </w:rPr>
  </w:style>
  <w:style w:styleId="Style_16" w:type="paragraph">
    <w:name w:val="heading 5"/>
    <w:next w:val="Style_4"/>
    <w:link w:val="Style_16_ch"/>
    <w:uiPriority w:val="9"/>
    <w:qFormat/>
    <w:pPr>
      <w:widowControl w:val="0"/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Balloon Text"/>
    <w:basedOn w:val="Style_4"/>
    <w:link w:val="Style_17_ch"/>
    <w:rPr>
      <w:rFonts w:ascii="Tahoma" w:hAnsi="Tahoma"/>
      <w:sz w:val="16"/>
    </w:rPr>
  </w:style>
  <w:style w:styleId="Style_17_ch" w:type="character">
    <w:name w:val="Balloon Text"/>
    <w:basedOn w:val="Style_4_ch"/>
    <w:link w:val="Style_17"/>
    <w:rPr>
      <w:rFonts w:ascii="Tahoma" w:hAnsi="Tahoma"/>
      <w:sz w:val="16"/>
    </w:rPr>
  </w:style>
  <w:style w:styleId="Style_18" w:type="paragraph">
    <w:name w:val="heading 1"/>
    <w:next w:val="Style_4"/>
    <w:link w:val="Style_18_ch"/>
    <w:uiPriority w:val="9"/>
    <w:qFormat/>
    <w:pPr>
      <w:widowControl w:val="0"/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4"/>
    <w:link w:val="Style_21_ch"/>
    <w:uiPriority w:val="39"/>
    <w:rPr>
      <w:rFonts w:ascii="XO Thames" w:hAnsi="XO Thames"/>
      <w:b w:val="1"/>
    </w:rPr>
  </w:style>
  <w:style w:styleId="Style_21_ch" w:type="character">
    <w:name w:val="toc 1"/>
    <w:link w:val="Style_21"/>
    <w:rPr>
      <w:rFonts w:ascii="XO Thames" w:hAnsi="XO Thames"/>
      <w:b w:val="1"/>
    </w:rPr>
  </w:style>
  <w:style w:styleId="Style_1" w:type="paragraph">
    <w:name w:val="Header and Footer"/>
    <w:link w:val="Style_1_ch"/>
    <w:pPr>
      <w:widowControl w:val="0"/>
      <w:spacing w:line="360" w:lineRule="auto"/>
      <w:ind/>
    </w:pPr>
    <w:rPr>
      <w:rFonts w:ascii="XO Thames" w:hAnsi="XO Thames"/>
    </w:rPr>
  </w:style>
  <w:style w:styleId="Style_1_ch" w:type="character">
    <w:name w:val="Header and Footer"/>
    <w:link w:val="Style_1"/>
    <w:rPr>
      <w:rFonts w:ascii="XO Thames" w:hAnsi="XO Thames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Body Text 3"/>
    <w:basedOn w:val="Style_4"/>
    <w:link w:val="Style_23_ch"/>
    <w:pPr>
      <w:widowControl w:val="0"/>
      <w:spacing w:after="120"/>
      <w:ind/>
    </w:pPr>
    <w:rPr>
      <w:sz w:val="16"/>
    </w:rPr>
  </w:style>
  <w:style w:styleId="Style_23_ch" w:type="character">
    <w:name w:val="Body Text 3"/>
    <w:basedOn w:val="Style_4_ch"/>
    <w:link w:val="Style_23"/>
    <w:rPr>
      <w:sz w:val="16"/>
    </w:rPr>
  </w:style>
  <w:style w:styleId="Style_24" w:type="paragraph">
    <w:name w:val="toc 9"/>
    <w:next w:val="Style_4"/>
    <w:link w:val="Style_24_ch"/>
    <w:uiPriority w:val="39"/>
    <w:pPr>
      <w:widowControl w:val="0"/>
      <w:ind w:firstLine="0" w:left="1600"/>
    </w:pPr>
  </w:style>
  <w:style w:styleId="Style_24_ch" w:type="character">
    <w:name w:val="toc 9"/>
    <w:link w:val="Style_24"/>
  </w:style>
  <w:style w:styleId="Style_25" w:type="paragraph">
    <w:name w:val="toc 8"/>
    <w:next w:val="Style_4"/>
    <w:link w:val="Style_25_ch"/>
    <w:uiPriority w:val="39"/>
    <w:pPr>
      <w:widowControl w:val="0"/>
      <w:ind w:firstLine="0" w:left="1400"/>
    </w:pPr>
  </w:style>
  <w:style w:styleId="Style_25_ch" w:type="character">
    <w:name w:val="toc 8"/>
    <w:link w:val="Style_25"/>
  </w:style>
  <w:style w:styleId="Style_26" w:type="paragraph">
    <w:name w:val="toc 10"/>
    <w:next w:val="Style_4"/>
    <w:link w:val="Style_26_ch"/>
    <w:pPr>
      <w:widowControl w:val="0"/>
      <w:ind w:firstLine="0" w:left="1800"/>
    </w:pPr>
  </w:style>
  <w:style w:styleId="Style_26_ch" w:type="character">
    <w:name w:val="toc 10"/>
    <w:link w:val="Style_26"/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toc 5"/>
    <w:next w:val="Style_4"/>
    <w:link w:val="Style_28_ch"/>
    <w:uiPriority w:val="39"/>
    <w:pPr>
      <w:widowControl w:val="0"/>
      <w:ind w:firstLine="0" w:left="800"/>
    </w:pPr>
  </w:style>
  <w:style w:styleId="Style_28_ch" w:type="character">
    <w:name w:val="toc 5"/>
    <w:link w:val="Style_28"/>
  </w:style>
  <w:style w:styleId="Style_29" w:type="paragraph">
    <w:name w:val="Обычный1"/>
    <w:link w:val="Style_29_ch"/>
    <w:rPr>
      <w:rFonts w:ascii="Times New Roman" w:hAnsi="Times New Roman"/>
      <w:sz w:val="24"/>
    </w:rPr>
  </w:style>
  <w:style w:styleId="Style_29_ch" w:type="character">
    <w:name w:val="Обычный1"/>
    <w:link w:val="Style_29"/>
    <w:rPr>
      <w:rFonts w:ascii="Times New Roman" w:hAnsi="Times New Roman"/>
      <w:sz w:val="24"/>
    </w:rPr>
  </w:style>
  <w:style w:styleId="Style_30" w:type="paragraph">
    <w:name w:val="Subtitle"/>
    <w:next w:val="Style_4"/>
    <w:link w:val="Style_30_ch"/>
    <w:uiPriority w:val="11"/>
    <w:qFormat/>
    <w:rPr>
      <w:rFonts w:ascii="XO Thames" w:hAnsi="XO Thames"/>
      <w:i w:val="1"/>
      <w:color w:val="616161"/>
      <w:sz w:val="24"/>
    </w:rPr>
  </w:style>
  <w:style w:styleId="Style_30_ch" w:type="character">
    <w:name w:val="Subtitle"/>
    <w:link w:val="Style_30"/>
    <w:rPr>
      <w:rFonts w:ascii="XO Thames" w:hAnsi="XO Thames"/>
      <w:i w:val="1"/>
      <w:color w:val="616161"/>
      <w:sz w:val="24"/>
    </w:rPr>
  </w:style>
  <w:style w:styleId="Style_31" w:type="paragraph">
    <w:name w:val="Title"/>
    <w:next w:val="Style_4"/>
    <w:link w:val="Style_31_ch"/>
    <w:uiPriority w:val="10"/>
    <w:qFormat/>
    <w:rPr>
      <w:rFonts w:ascii="XO Thames" w:hAnsi="XO Thames"/>
      <w:b w:val="1"/>
      <w:sz w:val="52"/>
    </w:rPr>
  </w:style>
  <w:style w:styleId="Style_31_ch" w:type="character">
    <w:name w:val="Title"/>
    <w:link w:val="Style_31"/>
    <w:rPr>
      <w:rFonts w:ascii="XO Thames" w:hAnsi="XO Thames"/>
      <w:b w:val="1"/>
      <w:sz w:val="52"/>
    </w:rPr>
  </w:style>
  <w:style w:styleId="Style_32" w:type="paragraph">
    <w:name w:val="heading 4"/>
    <w:next w:val="Style_4"/>
    <w:link w:val="Style_32_ch"/>
    <w:uiPriority w:val="9"/>
    <w:qFormat/>
    <w:pPr>
      <w:widowControl w:val="0"/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2_ch" w:type="character">
    <w:name w:val="heading 4"/>
    <w:link w:val="Style_32"/>
    <w:rPr>
      <w:rFonts w:ascii="XO Thames" w:hAnsi="XO Thames"/>
      <w:b w:val="1"/>
      <w:color w:val="595959"/>
      <w:sz w:val="26"/>
    </w:rPr>
  </w:style>
  <w:style w:styleId="Style_33" w:type="paragraph">
    <w:name w:val="heading 2"/>
    <w:next w:val="Style_4"/>
    <w:link w:val="Style_33_ch"/>
    <w:uiPriority w:val="9"/>
    <w:qFormat/>
    <w:pPr>
      <w:widowControl w:val="0"/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3_ch" w:type="character">
    <w:name w:val="heading 2"/>
    <w:link w:val="Style_33"/>
    <w:rPr>
      <w:rFonts w:ascii="XO Thames" w:hAnsi="XO Thames"/>
      <w:b w:val="1"/>
      <w:color w:val="00A0FF"/>
      <w:sz w:val="26"/>
    </w:rPr>
  </w:style>
  <w:style w:styleId="Style_3" w:type="paragraph">
    <w:name w:val="List Paragraph"/>
    <w:basedOn w:val="Style_4"/>
    <w:link w:val="Style_3_ch"/>
    <w:pPr>
      <w:widowControl w:val="0"/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2024-11-18T03:41:53Z</dcterms:created>
  <dcterms:modified xsi:type="dcterms:W3CDTF">2025-11-21T03:49:04Z</dcterms:modified>
</cp:coreProperties>
</file>