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42" w:rsidRPr="00810037" w:rsidRDefault="00A25142" w:rsidP="00810037">
      <w:pPr>
        <w:jc w:val="right"/>
        <w:rPr>
          <w:b/>
          <w:bCs/>
          <w:kern w:val="28"/>
          <w:sz w:val="32"/>
          <w:szCs w:val="32"/>
        </w:rPr>
      </w:pPr>
      <w:r w:rsidRPr="00810037">
        <w:rPr>
          <w:b/>
          <w:bCs/>
          <w:kern w:val="28"/>
          <w:sz w:val="32"/>
          <w:szCs w:val="32"/>
        </w:rPr>
        <w:t>Утверждена постановлением</w:t>
      </w:r>
    </w:p>
    <w:p w:rsidR="00A25142" w:rsidRDefault="00A25142" w:rsidP="00810037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администрации Крапивинского</w:t>
      </w:r>
    </w:p>
    <w:p w:rsidR="00A25142" w:rsidRPr="00810037" w:rsidRDefault="00A25142" w:rsidP="00810037">
      <w:pPr>
        <w:jc w:val="right"/>
        <w:rPr>
          <w:b/>
          <w:bCs/>
          <w:kern w:val="28"/>
          <w:sz w:val="32"/>
          <w:szCs w:val="32"/>
        </w:rPr>
      </w:pPr>
      <w:r w:rsidRPr="00810037">
        <w:rPr>
          <w:b/>
          <w:bCs/>
          <w:kern w:val="28"/>
          <w:sz w:val="32"/>
          <w:szCs w:val="32"/>
        </w:rPr>
        <w:t>муниципального района</w:t>
      </w:r>
    </w:p>
    <w:p w:rsidR="00A25142" w:rsidRPr="00810037" w:rsidRDefault="00A25142" w:rsidP="00810037">
      <w:pPr>
        <w:jc w:val="right"/>
      </w:pPr>
      <w:r w:rsidRPr="00810037">
        <w:rPr>
          <w:b/>
          <w:bCs/>
          <w:kern w:val="28"/>
          <w:sz w:val="32"/>
          <w:szCs w:val="32"/>
        </w:rPr>
        <w:t>от 07.11.2013г. №1612</w:t>
      </w:r>
    </w:p>
    <w:p w:rsidR="00A25142" w:rsidRPr="00810037" w:rsidRDefault="00A25142" w:rsidP="00810037"/>
    <w:p w:rsidR="00A25142" w:rsidRPr="00810037" w:rsidRDefault="00A25142" w:rsidP="00810037">
      <w:pPr>
        <w:jc w:val="center"/>
        <w:rPr>
          <w:b/>
          <w:bCs/>
          <w:kern w:val="32"/>
          <w:sz w:val="32"/>
          <w:szCs w:val="32"/>
        </w:rPr>
      </w:pPr>
      <w:r w:rsidRPr="00810037">
        <w:rPr>
          <w:b/>
          <w:bCs/>
          <w:kern w:val="32"/>
          <w:sz w:val="32"/>
          <w:szCs w:val="32"/>
        </w:rPr>
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2016 годы</w:t>
      </w:r>
    </w:p>
    <w:p w:rsidR="00A25142" w:rsidRPr="00810037" w:rsidRDefault="00A25142" w:rsidP="00810037"/>
    <w:p w:rsidR="00A25142" w:rsidRPr="00810037" w:rsidRDefault="00A25142" w:rsidP="00810037">
      <w:pPr>
        <w:jc w:val="center"/>
        <w:rPr>
          <w:b/>
          <w:bCs/>
          <w:sz w:val="30"/>
          <w:szCs w:val="30"/>
        </w:rPr>
      </w:pPr>
      <w:r w:rsidRPr="00810037">
        <w:rPr>
          <w:b/>
          <w:bCs/>
          <w:sz w:val="30"/>
          <w:szCs w:val="30"/>
        </w:rPr>
        <w:t>Паспорт муниципальной программы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</w:t>
      </w:r>
      <w:r>
        <w:rPr>
          <w:b/>
          <w:bCs/>
          <w:sz w:val="30"/>
          <w:szCs w:val="30"/>
        </w:rPr>
        <w:t xml:space="preserve"> муниципального района» на 2014</w:t>
      </w:r>
      <w:r w:rsidRPr="00810037">
        <w:rPr>
          <w:b/>
          <w:bCs/>
          <w:sz w:val="30"/>
          <w:szCs w:val="30"/>
        </w:rPr>
        <w:t>–2016 годы</w:t>
      </w:r>
    </w:p>
    <w:p w:rsidR="00A25142" w:rsidRPr="00810037" w:rsidRDefault="00A25142" w:rsidP="00810037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2"/>
        <w:gridCol w:w="5912"/>
      </w:tblGrid>
      <w:tr w:rsidR="00A25142" w:rsidRPr="00810037">
        <w:trPr>
          <w:tblCellSpacing w:w="5" w:type="nil"/>
        </w:trPr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0"/>
            </w:pPr>
            <w:r w:rsidRPr="00810037"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0"/>
            </w:pPr>
            <w:r w:rsidRPr="00810037">
              <w:t>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2016 годы (далее-Программа)</w:t>
            </w:r>
          </w:p>
        </w:tc>
      </w:tr>
      <w:tr w:rsidR="00A25142" w:rsidRPr="00810037">
        <w:trPr>
          <w:tblCellSpacing w:w="5" w:type="nil"/>
        </w:trPr>
        <w:tc>
          <w:tcPr>
            <w:tcW w:w="3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Директор программы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Первый заместитель главы Крапивинского муниципального района Т.И. Климина </w:t>
            </w:r>
          </w:p>
        </w:tc>
      </w:tr>
      <w:tr w:rsidR="00A25142" w:rsidRPr="00810037">
        <w:trPr>
          <w:trHeight w:val="400"/>
          <w:tblCellSpacing w:w="5" w:type="nil"/>
        </w:trPr>
        <w:tc>
          <w:tcPr>
            <w:tcW w:w="3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Ответственный исполнитель (координатор) муниципальной программы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Директор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</w:t>
            </w:r>
          </w:p>
        </w:tc>
      </w:tr>
      <w:tr w:rsidR="00A25142" w:rsidRPr="00810037">
        <w:trPr>
          <w:tblCellSpacing w:w="5" w:type="nil"/>
        </w:trPr>
        <w:tc>
          <w:tcPr>
            <w:tcW w:w="3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Исполнители муниципальной программы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района»;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Муниципальное унитарное предприятие «Единое окно»</w:t>
            </w:r>
          </w:p>
        </w:tc>
      </w:tr>
      <w:tr w:rsidR="00A25142" w:rsidRPr="00810037">
        <w:trPr>
          <w:tblCellSpacing w:w="5" w:type="nil"/>
        </w:trPr>
        <w:tc>
          <w:tcPr>
            <w:tcW w:w="3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Цели муниципальной программы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Повышение качества и доступности предоставления государственных и муниципальных услуг. 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Сокращение сроков предоставления государственных и муниципальных услуг.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Увеличение доли населения района, положительно оценивающего деятельность органов государственной власти и местного самоуправления</w:t>
            </w:r>
          </w:p>
        </w:tc>
      </w:tr>
      <w:tr w:rsidR="00A25142" w:rsidRPr="00810037">
        <w:trPr>
          <w:tblCellSpacing w:w="5" w:type="nil"/>
        </w:trPr>
        <w:tc>
          <w:tcPr>
            <w:tcW w:w="3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Задачи муниципальной программы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1. Совершенствование автоматизированной системы МФЦ и внедрения эффективных ИКТ-решений: электронного документооборота, интеграции баз данных различных ведомств и организаций, интеграции Интернет-сайта с информационной системой МФЦ.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2. Обеспечение качественного предоставления государственных и муниципальных услуг, в том числе в условиях</w:t>
            </w:r>
            <w:r>
              <w:t xml:space="preserve"> </w:t>
            </w:r>
            <w:r w:rsidRPr="00810037">
              <w:t>«Мобильного офиса».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3. Организация информирования граждан и юридических лиц по вопросам предоставления государственных и муниципальных услуг.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4. Обеспечение предоставления дополнительных услуг на базе МФЦ (услуги сбербанка, копировально-множительные услуги, составление договоров, исковых заявлений, оформление прав на объекты недвижимости и др.).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 xml:space="preserve">5. Обеспечение информационного сопровождения деятельности МФЦ. 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6. Организация повышения квалификации специалистов МФЦ.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7. Удешевление услуг по оформлению прав на объекты недвижимости.</w:t>
            </w:r>
          </w:p>
        </w:tc>
      </w:tr>
      <w:tr w:rsidR="00A25142" w:rsidRPr="00810037">
        <w:trPr>
          <w:tblCellSpacing w:w="5" w:type="nil"/>
        </w:trPr>
        <w:tc>
          <w:tcPr>
            <w:tcW w:w="3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Срок реализации муниципальной программы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2014-2016 годы</w:t>
            </w:r>
          </w:p>
        </w:tc>
      </w:tr>
      <w:tr w:rsidR="00A25142" w:rsidRPr="00810037">
        <w:trPr>
          <w:trHeight w:val="600"/>
          <w:tblCellSpacing w:w="5" w:type="nil"/>
        </w:trPr>
        <w:tc>
          <w:tcPr>
            <w:tcW w:w="3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Всего на реализацию Программы на 2014-2016 годы потребуется 22904,0 тыс. руб. 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В 2014 году –</w:t>
            </w:r>
            <w:r>
              <w:t xml:space="preserve"> </w:t>
            </w:r>
            <w:r w:rsidRPr="00810037">
              <w:t xml:space="preserve">7990,0 тыс. руб. 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В 2015 году –</w:t>
            </w:r>
            <w:r>
              <w:t xml:space="preserve"> </w:t>
            </w:r>
            <w:r w:rsidRPr="00810037">
              <w:t>7309,0 тыс. руб.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В 2016 году –</w:t>
            </w:r>
            <w:r>
              <w:t xml:space="preserve"> </w:t>
            </w:r>
            <w:r w:rsidRPr="00810037">
              <w:t>7605,0 тыс. руб.</w:t>
            </w:r>
          </w:p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За счет средств местного бюджета: 19394,0 тыс. руб.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В 2014 году – 6620,0</w:t>
            </w:r>
            <w:r>
              <w:t xml:space="preserve"> </w:t>
            </w:r>
            <w:r w:rsidRPr="00810037">
              <w:t xml:space="preserve">тыс. руб. 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В 2015 году – 6239,0 тыс. руб.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В 2016 году – 6535,0 тыс. руб.</w:t>
            </w:r>
          </w:p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За счет внебюджетных средств: 3510,0 тыс. руб.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В 2014 году – 1370,0</w:t>
            </w:r>
            <w:r>
              <w:t xml:space="preserve"> </w:t>
            </w:r>
            <w:r w:rsidRPr="00810037">
              <w:t xml:space="preserve">тыс. руб. 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В 2015 году – 1070,0 тыс. руб.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В 2016 году – 1070,0 тыс. руб.</w:t>
            </w:r>
          </w:p>
        </w:tc>
      </w:tr>
      <w:tr w:rsidR="00A25142" w:rsidRPr="00810037">
        <w:trPr>
          <w:trHeight w:val="400"/>
          <w:tblCellSpacing w:w="5" w:type="nil"/>
        </w:trPr>
        <w:tc>
          <w:tcPr>
            <w:tcW w:w="3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Ожидаемые конечные результаты реализации муниципальной программы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1. Удовлетворенность населения качеством предоставления государственных и муниципальных услуг в Крапивинском районе – 90 %.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2. Доля населения района, пользующихся государственными и муниципальными услугами МФЦ – 90 %.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3. Соблюдение (сокращение) сроков предоставления государственных и муниципальных услуг – 100%.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4. Доля помещений МФЦ для приема заявителей, которые соответствуют стандарту комфортности при предоставлении государственных услуг – 100 %.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>5. Доля государственных услуг предоставляемых в МФЦ информация, по которым содержится в сети Интернет – 100 %.</w:t>
            </w:r>
          </w:p>
          <w:p w:rsidR="00A25142" w:rsidRPr="00810037" w:rsidRDefault="00A25142" w:rsidP="00810037">
            <w:pPr>
              <w:pStyle w:val="Table"/>
            </w:pPr>
            <w:r w:rsidRPr="00810037">
              <w:t xml:space="preserve">6. Исключение непосредственного взаимодействия заявителей с уполномоченными органами при оформлении прав на объекты недвижимости. </w:t>
            </w:r>
          </w:p>
        </w:tc>
      </w:tr>
    </w:tbl>
    <w:p w:rsidR="00A25142" w:rsidRPr="00810037" w:rsidRDefault="00A25142" w:rsidP="00810037"/>
    <w:p w:rsidR="00A25142" w:rsidRPr="00810037" w:rsidRDefault="00A25142" w:rsidP="00810037">
      <w:pPr>
        <w:jc w:val="center"/>
        <w:rPr>
          <w:b/>
          <w:bCs/>
          <w:sz w:val="30"/>
          <w:szCs w:val="30"/>
        </w:rPr>
      </w:pPr>
      <w:r w:rsidRPr="00810037">
        <w:rPr>
          <w:b/>
          <w:bCs/>
          <w:sz w:val="30"/>
          <w:szCs w:val="30"/>
        </w:rPr>
        <w:t>1. Анализ причин возникновения проблемы, обоснование целесообразности и необходимости ее решения путем реализации Программы</w:t>
      </w:r>
    </w:p>
    <w:p w:rsidR="00A25142" w:rsidRPr="00810037" w:rsidRDefault="00A25142" w:rsidP="00810037"/>
    <w:p w:rsidR="00A25142" w:rsidRPr="00810037" w:rsidRDefault="00A25142" w:rsidP="00810037">
      <w:r w:rsidRPr="00810037">
        <w:t>Повышение качества услуг может и не повлечь за собой немедленных финансовых выгод, но именно качество услуг является одним из ключевых факторов, определяющих доверие граждан к органам власти, местного самоуправления и способствующих укреплению имиджа органов управления. На достижение этой цели, в том числе и направлена административная реформа, проводимая в Российской Федерации.</w:t>
      </w:r>
    </w:p>
    <w:p w:rsidR="00A25142" w:rsidRPr="00810037" w:rsidRDefault="00A25142" w:rsidP="00810037">
      <w:r w:rsidRPr="00810037">
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 создано 22.11.2011 года, открыто для заявителей 13.08.2012 года.</w:t>
      </w:r>
    </w:p>
    <w:p w:rsidR="00A25142" w:rsidRPr="00810037" w:rsidRDefault="00A25142" w:rsidP="00810037">
      <w:r w:rsidRPr="00810037">
        <w:t>Создание многофункционального центра служит достижению большинства целей и задач, сформулированных Концепцией административной реформы в Российской Федерации.</w:t>
      </w:r>
    </w:p>
    <w:p w:rsidR="00A25142" w:rsidRPr="00810037" w:rsidRDefault="00A25142" w:rsidP="00810037">
      <w:r w:rsidRPr="00810037">
        <w:t>Объективными предпосылками создания и совершенствования межведомственного взаимодействия на базе МФЦ являются:</w:t>
      </w:r>
    </w:p>
    <w:p w:rsidR="00A25142" w:rsidRPr="00810037" w:rsidRDefault="00A25142" w:rsidP="00810037">
      <w:r w:rsidRPr="00810037">
        <w:t>1. Государственные и муниципальные услуги, как правило, носят межведомственный и межуровневый характер. В этой связи невозможно улучшить предоставление отдельно взятой государственной услуги только в рамках одного ведомства без оптимизации работы других ведомств, включенных в предоставление таких государственных и муниципальных услуг.</w:t>
      </w:r>
    </w:p>
    <w:p w:rsidR="00A25142" w:rsidRPr="00810037" w:rsidRDefault="00A25142" w:rsidP="00810037">
      <w:r w:rsidRPr="00810037">
        <w:t>2. Отдельные административные процедуры различных ведомств при предоставлении государственных услуг сходны (прием, регистрация документов, выдача документов и т.д.), а требуемые для предоставления государственных услуг данные (удостоверяющие личность документы, справки и т.д.) идентичны.</w:t>
      </w:r>
    </w:p>
    <w:p w:rsidR="00A25142" w:rsidRPr="00810037" w:rsidRDefault="00A25142" w:rsidP="00810037">
      <w:r w:rsidRPr="00810037">
        <w:t>3. Предоставление взаимосвязанных государственных и муниципальных услуг оптимизировано за счет:</w:t>
      </w:r>
    </w:p>
    <w:p w:rsidR="00A25142" w:rsidRPr="00810037" w:rsidRDefault="00A25142" w:rsidP="00810037">
      <w:r w:rsidRPr="00810037">
        <w:t>- организации единой точки приема, регистрации и выдачи необходимых документов гражданам при предоставлении разных государственных и муниципальных услуг;</w:t>
      </w:r>
    </w:p>
    <w:p w:rsidR="00A25142" w:rsidRPr="00810037" w:rsidRDefault="00A25142" w:rsidP="00810037">
      <w:r w:rsidRPr="00810037">
        <w:t>- оптимизации межведомственного взаимодействия (в том числе электронного), сокращения времени документооборота;</w:t>
      </w:r>
    </w:p>
    <w:p w:rsidR="00A25142" w:rsidRPr="00810037" w:rsidRDefault="00A25142" w:rsidP="00810037">
      <w:r w:rsidRPr="00810037">
        <w:t>- возможности получения гражданами одновременно нескольких взаимосвязанных государственных и муниципальных услуг.</w:t>
      </w:r>
    </w:p>
    <w:p w:rsidR="00A25142" w:rsidRPr="00810037" w:rsidRDefault="00A25142" w:rsidP="00810037">
      <w:r w:rsidRPr="00810037">
        <w:t>Реализация проекта по созданию МФЦ в Крапивинском районе позволило создать комфортные условия для предоставления государственных и муниципальных услуг.</w:t>
      </w:r>
    </w:p>
    <w:p w:rsidR="00A25142" w:rsidRPr="00810037" w:rsidRDefault="00A25142" w:rsidP="00810037">
      <w:r w:rsidRPr="00810037">
        <w:t>В одном здании расположены организации, услуги которых наиболее востребованы у населения Крапивинского муниципального района, в том числе территориальные подразделения УФМС России по Кемеровской области в Крапивинском районе, Росреестра, Федеральной кадастровой палаты Росреестра, нотариуса, МУП «Единое окно», обеспечен приём (выдача) документов для передачи в ФНС, ПФ РФ, УФМС, ФСС, ЗАГС, УСЗН, КУМИ, отделы администрации (архитектуры и градостроительства, архив и др.), организовано предоставление информационных услуг посредством доступа на портал государственных услуг.</w:t>
      </w:r>
    </w:p>
    <w:p w:rsidR="00A25142" w:rsidRPr="00810037" w:rsidRDefault="00A25142" w:rsidP="00810037">
      <w:r w:rsidRPr="00810037">
        <w:t>Отсутствие в районе организации предоставляющей услуги по выполнению кадастровых работ</w:t>
      </w:r>
      <w:r>
        <w:t xml:space="preserve"> </w:t>
      </w:r>
      <w:r w:rsidRPr="00810037">
        <w:t>создаёт сложности при оформлении прав на объекты недвижимости (несвоевременное и некачественное предоставление кадастровых работ сторонними организациями). Всестороннее содействие гражданам на этапе подготовки документации, в том числе технической (технические и межевые планы) позволит сократить сроки на оформление прав на объекты недвижимости. Объекты недвижимости, зарегистрированные надлежащим образом в Росреестре, становятся объектами налогообложения, что в свою очередь позволяет увеличивать доходную часть бюджета района.</w:t>
      </w:r>
    </w:p>
    <w:p w:rsidR="00A25142" w:rsidRPr="00810037" w:rsidRDefault="00A25142" w:rsidP="00810037">
      <w:r w:rsidRPr="00810037">
        <w:t>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созданы безопасные и комфортные условия для предоставления государственных и муниципальных услуг.</w:t>
      </w:r>
    </w:p>
    <w:p w:rsidR="00A25142" w:rsidRPr="00810037" w:rsidRDefault="00A25142" w:rsidP="00810037">
      <w:r w:rsidRPr="00810037">
        <w:t>По состоянию на 01.10.2013 года Многофункциональным центром заключено 41 Соглашение о взаимодействии по предоставлению государственных и муниципальных услуг. В рамках, которых оказывается 182 услуги, из них 127 государственных (35 -</w:t>
      </w:r>
      <w:r>
        <w:t xml:space="preserve"> </w:t>
      </w:r>
      <w:r w:rsidRPr="00810037">
        <w:t>федеральных, 92 – региональных), 35 – муниципальных (21% от количества муниципальных услуг Крапивинского муниципального района) и 20 дополнительных.</w:t>
      </w:r>
    </w:p>
    <w:p w:rsidR="00A25142" w:rsidRPr="00810037" w:rsidRDefault="00A25142" w:rsidP="00810037">
      <w:r w:rsidRPr="00810037">
        <w:t>С момента открытия МФЦ с учётом служб размещённых в здании центра обратилось 45450 человек (5 месяцев 2012г. – 11704 чел., 2013г. 9 месяцев –33746 чел.), в т.ч. к специалистам МФЦ – 25363 чел., из них за предоставлением государственных и муниципальных услуг – 12842.</w:t>
      </w:r>
    </w:p>
    <w:p w:rsidR="00A25142" w:rsidRPr="00810037" w:rsidRDefault="00A25142" w:rsidP="00810037">
      <w:r w:rsidRPr="00810037">
        <w:t>Специалистами МФЦ за 9 месяцев 2013 года принято документов для оказания 8516 государственных и 471 муниципальных услуг и</w:t>
      </w:r>
      <w:r>
        <w:t xml:space="preserve"> </w:t>
      </w:r>
      <w:r w:rsidRPr="00810037">
        <w:t>оказано 1070 консультаций, 2048 дополнительных услуги, выдано 7128 результатов оказания</w:t>
      </w:r>
      <w:r>
        <w:t xml:space="preserve"> </w:t>
      </w:r>
      <w:r w:rsidRPr="00810037">
        <w:t>услуг. Наиболее востребованы государственные услуги социальной защиты (2962 услуги - 34% от общего количества услуг), Росреестра (4325 услуг - 50% от общего количества услуг), УФМС (566 услуг - 7% от общего количества услуг). С 01.01.2014 года значительно увеличится количество услуг УФМС, т.к. МФЦ будет передана услуга «Прием документов на регистрацию (снятие с регистрации) по месту пребывания</w:t>
      </w:r>
      <w:r>
        <w:t xml:space="preserve"> </w:t>
      </w:r>
      <w:r w:rsidRPr="00810037">
        <w:t>и жительства».</w:t>
      </w:r>
    </w:p>
    <w:p w:rsidR="00A25142" w:rsidRPr="00810037" w:rsidRDefault="00A25142" w:rsidP="00810037">
      <w:pPr>
        <w:rPr>
          <w:highlight w:val="yellow"/>
        </w:rPr>
      </w:pPr>
      <w:r w:rsidRPr="00810037">
        <w:t>В МУП «Единое окно» обратилось по вопросу содействия в оформлении прав на объекты недвижимости 2354 граждан за 9 месяцев 2013 года.</w:t>
      </w:r>
    </w:p>
    <w:p w:rsidR="00A25142" w:rsidRPr="00810037" w:rsidRDefault="00A25142" w:rsidP="00810037">
      <w:r w:rsidRPr="00810037">
        <w:t>С целью обеспечения доступности получения государственных и муниципальных услуг гражданами</w:t>
      </w:r>
      <w:r>
        <w:t xml:space="preserve"> </w:t>
      </w:r>
      <w:r w:rsidRPr="00810037">
        <w:t>района</w:t>
      </w:r>
      <w:r>
        <w:t xml:space="preserve"> </w:t>
      </w:r>
      <w:r w:rsidRPr="00810037">
        <w:t xml:space="preserve">с ноября 2012 года организовано 47 выездов в отдалённые сельские поселения в рамках, которых оказано 783 услуги и выдано 520 результатов оказания услуг. </w:t>
      </w:r>
    </w:p>
    <w:p w:rsidR="00A25142" w:rsidRPr="00810037" w:rsidRDefault="00A25142" w:rsidP="00810037">
      <w:r w:rsidRPr="00810037">
        <w:t>Для совершенствования работы по подпрограмме «Повышение эффективности и результативности деятельности органов государственной власти Кемеровской области, оптимизация и повышение качества предоставления государственных и муниципальных услуг в Кемеровской области» приобретён автомобиль «Мобильный офис», планируется увеличить количество выездов на территории сельских поселений района, расширить спектр услуг, оказываемых в условиях мобильного офиса (регистрация прав на объекты недвижимости, приём документов на замену паспорта гражданина РФ и др.).</w:t>
      </w:r>
    </w:p>
    <w:p w:rsidR="00A25142" w:rsidRPr="00810037" w:rsidRDefault="00A25142" w:rsidP="00810037">
      <w:r w:rsidRPr="00810037">
        <w:t>Таким образом, совершенствование деятельности МФЦ является необходимым и логичным продолжением мероприятий административной реформы по обеспечению доступного получения государственных и муниципальных услуг жителями района.</w:t>
      </w:r>
    </w:p>
    <w:p w:rsidR="00A25142" w:rsidRPr="00810037" w:rsidRDefault="00A25142" w:rsidP="00810037"/>
    <w:p w:rsidR="00A25142" w:rsidRPr="00810037" w:rsidRDefault="00A25142" w:rsidP="00810037">
      <w:pPr>
        <w:jc w:val="center"/>
        <w:rPr>
          <w:b/>
          <w:bCs/>
          <w:sz w:val="30"/>
          <w:szCs w:val="30"/>
        </w:rPr>
      </w:pPr>
      <w:r w:rsidRPr="00810037">
        <w:rPr>
          <w:b/>
          <w:bCs/>
          <w:sz w:val="30"/>
          <w:szCs w:val="30"/>
        </w:rPr>
        <w:t>2. Цели и задачи Программы</w:t>
      </w:r>
    </w:p>
    <w:p w:rsidR="00A25142" w:rsidRPr="00810037" w:rsidRDefault="00A25142" w:rsidP="00810037"/>
    <w:p w:rsidR="00A25142" w:rsidRPr="00810037" w:rsidRDefault="00A25142" w:rsidP="00810037">
      <w:r w:rsidRPr="00810037">
        <w:t>Реализация муниципальной программы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2016 годы» рассчитана на 3 года.</w:t>
      </w:r>
    </w:p>
    <w:p w:rsidR="00A25142" w:rsidRDefault="00A25142" w:rsidP="00810037"/>
    <w:p w:rsidR="00A25142" w:rsidRPr="00810037" w:rsidRDefault="00A25142" w:rsidP="00810037">
      <w:r w:rsidRPr="00810037">
        <w:t>Основные цели Программы:</w:t>
      </w:r>
    </w:p>
    <w:p w:rsidR="00A25142" w:rsidRPr="00810037" w:rsidRDefault="00A25142" w:rsidP="00810037">
      <w:r>
        <w:t xml:space="preserve">1. </w:t>
      </w:r>
      <w:r w:rsidRPr="00810037">
        <w:t xml:space="preserve">Повышение качества и доступности предоставления государственных и муниципальных услуг. </w:t>
      </w:r>
    </w:p>
    <w:p w:rsidR="00A25142" w:rsidRPr="00810037" w:rsidRDefault="00A25142" w:rsidP="00810037">
      <w:r>
        <w:t xml:space="preserve">2. </w:t>
      </w:r>
      <w:r w:rsidRPr="00810037">
        <w:t>Сокращение сроков предоставления государственных и муниципальных услуг.</w:t>
      </w:r>
    </w:p>
    <w:p w:rsidR="00A25142" w:rsidRPr="00810037" w:rsidRDefault="00A25142" w:rsidP="00810037">
      <w:r>
        <w:t xml:space="preserve">3. </w:t>
      </w:r>
      <w:r w:rsidRPr="00810037">
        <w:t>Увеличение доли населения района, положительно оценивающего деятельность органов государственной власти и местного самоуправления.</w:t>
      </w:r>
    </w:p>
    <w:p w:rsidR="00A25142" w:rsidRPr="00810037" w:rsidRDefault="00A25142" w:rsidP="00810037"/>
    <w:p w:rsidR="00A25142" w:rsidRPr="00810037" w:rsidRDefault="00A25142" w:rsidP="00810037">
      <w:r w:rsidRPr="00810037">
        <w:t>Основные задачи Программы:</w:t>
      </w:r>
    </w:p>
    <w:p w:rsidR="00A25142" w:rsidRPr="00810037" w:rsidRDefault="00A25142" w:rsidP="00810037">
      <w:r w:rsidRPr="00810037">
        <w:t>1. Совершенствование автоматизированной системы МФЦ и внедрения эффективных ИКТ-решений: электронного документооборота, интеграции баз данных различных ведомств и организаций, интеграции Интернет-сайта с информационной системой МФЦ.</w:t>
      </w:r>
    </w:p>
    <w:p w:rsidR="00A25142" w:rsidRPr="00810037" w:rsidRDefault="00A25142" w:rsidP="00810037">
      <w:r w:rsidRPr="00810037">
        <w:t>2. Обеспечение качественного предоставления государственных и муниципальных услуг, в том числе в условиях</w:t>
      </w:r>
      <w:r>
        <w:t xml:space="preserve"> </w:t>
      </w:r>
      <w:r w:rsidRPr="00810037">
        <w:t>«Мобильного офиса».</w:t>
      </w:r>
    </w:p>
    <w:p w:rsidR="00A25142" w:rsidRPr="00810037" w:rsidRDefault="00A25142" w:rsidP="00810037">
      <w:r w:rsidRPr="00810037">
        <w:t>3. Организация информирования граждан и юридических лиц по вопросам предоставления государственных и муниципальных услуг.</w:t>
      </w:r>
    </w:p>
    <w:p w:rsidR="00A25142" w:rsidRPr="00810037" w:rsidRDefault="00A25142" w:rsidP="00810037">
      <w:r w:rsidRPr="00810037">
        <w:t>4. Обеспечение предоставления дополнительных услуг на базе МФЦ (услуги сбербанка, копировально-множительные услуги, составление договоров, исковых заявлений, оформление прав на объекты недвижимости и др.).</w:t>
      </w:r>
    </w:p>
    <w:p w:rsidR="00A25142" w:rsidRPr="00810037" w:rsidRDefault="00A25142" w:rsidP="00810037">
      <w:r w:rsidRPr="00810037">
        <w:t xml:space="preserve">5. Обеспечение информационного сопровождения деятельности МФЦ. </w:t>
      </w:r>
    </w:p>
    <w:p w:rsidR="00A25142" w:rsidRPr="00810037" w:rsidRDefault="00A25142" w:rsidP="00810037">
      <w:r w:rsidRPr="00810037">
        <w:t>6. Организация повышения квалификации специалистов МФЦ.</w:t>
      </w:r>
    </w:p>
    <w:p w:rsidR="00A25142" w:rsidRPr="00810037" w:rsidRDefault="00A25142" w:rsidP="00810037">
      <w:r w:rsidRPr="00810037">
        <w:t>7. Удешевление услуг по оформлению прав на объекты недвижимости.</w:t>
      </w:r>
    </w:p>
    <w:p w:rsidR="00A25142" w:rsidRPr="00810037" w:rsidRDefault="00A25142" w:rsidP="00810037">
      <w:pPr>
        <w:rPr>
          <w:highlight w:val="green"/>
        </w:rPr>
      </w:pPr>
    </w:p>
    <w:p w:rsidR="00A25142" w:rsidRPr="00810037" w:rsidRDefault="00A25142" w:rsidP="00810037">
      <w:pPr>
        <w:jc w:val="center"/>
        <w:rPr>
          <w:b/>
          <w:bCs/>
          <w:sz w:val="30"/>
          <w:szCs w:val="30"/>
        </w:rPr>
      </w:pPr>
      <w:r w:rsidRPr="00810037">
        <w:rPr>
          <w:b/>
          <w:bCs/>
          <w:sz w:val="30"/>
          <w:szCs w:val="30"/>
        </w:rPr>
        <w:t>3. Программные мероприятия</w:t>
      </w:r>
    </w:p>
    <w:p w:rsidR="00A25142" w:rsidRPr="00810037" w:rsidRDefault="00A25142" w:rsidP="00810037"/>
    <w:p w:rsidR="00A25142" w:rsidRPr="00810037" w:rsidRDefault="00A25142" w:rsidP="00810037">
      <w:r w:rsidRPr="00810037">
        <w:t>Мероприятия программы предусматривают текущие расходы на выполнение муниципального задания, содержание помещения, оплату труда.</w:t>
      </w:r>
    </w:p>
    <w:p w:rsidR="00A25142" w:rsidRPr="00810037" w:rsidRDefault="00A25142" w:rsidP="00810037"/>
    <w:p w:rsidR="00A25142" w:rsidRPr="00810037" w:rsidRDefault="00A25142" w:rsidP="00810037">
      <w:r w:rsidRPr="00810037">
        <w:t>Перечень мероприятий приведен в разделе 4 Программы.</w:t>
      </w:r>
    </w:p>
    <w:p w:rsidR="00A25142" w:rsidRPr="00810037" w:rsidRDefault="00A25142" w:rsidP="00810037">
      <w:pPr>
        <w:rPr>
          <w:highlight w:val="green"/>
        </w:rPr>
      </w:pPr>
    </w:p>
    <w:p w:rsidR="00A25142" w:rsidRPr="00810037" w:rsidRDefault="00A25142" w:rsidP="00810037">
      <w:pPr>
        <w:jc w:val="center"/>
        <w:rPr>
          <w:b/>
          <w:bCs/>
          <w:sz w:val="30"/>
          <w:szCs w:val="30"/>
        </w:rPr>
      </w:pPr>
      <w:r w:rsidRPr="00810037">
        <w:rPr>
          <w:b/>
          <w:bCs/>
          <w:sz w:val="30"/>
          <w:szCs w:val="30"/>
        </w:rPr>
        <w:t>4. Ресурсное обеспечение Программы</w:t>
      </w:r>
    </w:p>
    <w:p w:rsidR="00A25142" w:rsidRPr="00810037" w:rsidRDefault="00A25142" w:rsidP="00810037"/>
    <w:p w:rsidR="00A25142" w:rsidRPr="00810037" w:rsidRDefault="00A25142" w:rsidP="00810037">
      <w:r w:rsidRPr="00810037">
        <w:t>Основными финансовыми источниками в реализации мероприятий программы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2016 годы являются средства районного бюджета и внебюджетные средства.</w:t>
      </w:r>
    </w:p>
    <w:p w:rsidR="00A25142" w:rsidRPr="00810037" w:rsidRDefault="00A25142" w:rsidP="00810037">
      <w:r w:rsidRPr="00810037">
        <w:t>Всего на реализацию Программы на 2014-2016 годы потребуется 22904,0 тыс. руб., в том числе:</w:t>
      </w:r>
    </w:p>
    <w:p w:rsidR="00A25142" w:rsidRPr="00810037" w:rsidRDefault="00A25142" w:rsidP="00810037">
      <w:r w:rsidRPr="00810037">
        <w:t xml:space="preserve">в 2014 году – 7990,0 тыс. руб. </w:t>
      </w:r>
    </w:p>
    <w:p w:rsidR="00A25142" w:rsidRPr="00810037" w:rsidRDefault="00A25142" w:rsidP="00810037">
      <w:r w:rsidRPr="00810037">
        <w:t>в 2015 году – 7309,0 тыс. руб.</w:t>
      </w:r>
    </w:p>
    <w:p w:rsidR="00A25142" w:rsidRPr="00810037" w:rsidRDefault="00A25142" w:rsidP="00810037">
      <w:r w:rsidRPr="00810037">
        <w:t>в 2016 году – 7605,0 тыс. руб.</w:t>
      </w:r>
    </w:p>
    <w:p w:rsidR="00A25142" w:rsidRPr="00810037" w:rsidRDefault="00A25142" w:rsidP="00810037">
      <w:pPr>
        <w:rPr>
          <w:highlight w:val="yellow"/>
        </w:rPr>
      </w:pPr>
    </w:p>
    <w:p w:rsidR="00A25142" w:rsidRPr="00810037" w:rsidRDefault="00A25142" w:rsidP="00810037">
      <w:r w:rsidRPr="00810037">
        <w:t>За счет средств местного бюджета - 19394,0 тыс. руб., в том числе:</w:t>
      </w:r>
    </w:p>
    <w:p w:rsidR="00A25142" w:rsidRPr="00810037" w:rsidRDefault="00A25142" w:rsidP="00810037">
      <w:r w:rsidRPr="00810037">
        <w:t>в 2014 году – 6620,0 тыс. руб.</w:t>
      </w:r>
    </w:p>
    <w:p w:rsidR="00A25142" w:rsidRPr="00810037" w:rsidRDefault="00A25142" w:rsidP="00810037">
      <w:r w:rsidRPr="00810037">
        <w:t>в 2015 году – 6239,0 тыс. руб.</w:t>
      </w:r>
    </w:p>
    <w:p w:rsidR="00A25142" w:rsidRPr="00810037" w:rsidRDefault="00A25142" w:rsidP="00810037">
      <w:r w:rsidRPr="00810037">
        <w:t>в 2016 году – 6535,0 тыс. руб.</w:t>
      </w:r>
    </w:p>
    <w:p w:rsidR="00A25142" w:rsidRPr="00810037" w:rsidRDefault="00A25142" w:rsidP="00810037"/>
    <w:p w:rsidR="00A25142" w:rsidRPr="00810037" w:rsidRDefault="00A25142" w:rsidP="00810037">
      <w:r w:rsidRPr="00810037">
        <w:t>За счет внебюджетных средств - 3510,0 тыс. руб., в том числе:</w:t>
      </w:r>
    </w:p>
    <w:p w:rsidR="00A25142" w:rsidRPr="00810037" w:rsidRDefault="00A25142" w:rsidP="00810037">
      <w:r w:rsidRPr="00810037">
        <w:t>в 2014 году – 1370,0 тыс. руб.</w:t>
      </w:r>
    </w:p>
    <w:p w:rsidR="00A25142" w:rsidRPr="00810037" w:rsidRDefault="00A25142" w:rsidP="00810037">
      <w:r w:rsidRPr="00810037">
        <w:t>в 2015 году – 1070,0 тыс. руб.</w:t>
      </w:r>
    </w:p>
    <w:p w:rsidR="00A25142" w:rsidRPr="00810037" w:rsidRDefault="00A25142" w:rsidP="00810037">
      <w:r w:rsidRPr="00810037">
        <w:t>в 2016 году – 1070,0 тыс. руб.</w:t>
      </w:r>
    </w:p>
    <w:p w:rsidR="00A25142" w:rsidRPr="00810037" w:rsidRDefault="00A25142" w:rsidP="00810037"/>
    <w:p w:rsidR="00A25142" w:rsidRPr="00810037" w:rsidRDefault="00A25142" w:rsidP="00810037">
      <w:r w:rsidRPr="00810037">
        <w:t>Данные средства носят расчетный характер и будут уточнены при принятии бюджета на соответствующий финансовый год.</w:t>
      </w:r>
    </w:p>
    <w:p w:rsidR="00A25142" w:rsidRPr="00810037" w:rsidRDefault="00A25142" w:rsidP="00810037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"/>
        <w:gridCol w:w="3290"/>
        <w:gridCol w:w="3812"/>
        <w:gridCol w:w="799"/>
        <w:gridCol w:w="798"/>
        <w:gridCol w:w="799"/>
      </w:tblGrid>
      <w:tr w:rsidR="00A25142" w:rsidRPr="00810037">
        <w:trPr>
          <w:trHeight w:val="480"/>
          <w:tblCellSpacing w:w="5" w:type="nil"/>
        </w:trPr>
        <w:tc>
          <w:tcPr>
            <w:tcW w:w="35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0"/>
            </w:pPr>
            <w:r w:rsidRPr="00810037">
              <w:t>Наименование</w:t>
            </w:r>
          </w:p>
          <w:p w:rsidR="00A25142" w:rsidRPr="00810037" w:rsidRDefault="00A25142" w:rsidP="00810037">
            <w:pPr>
              <w:pStyle w:val="Table0"/>
            </w:pPr>
            <w:r w:rsidRPr="00810037">
              <w:t>муниципальной программы,</w:t>
            </w:r>
          </w:p>
          <w:p w:rsidR="00A25142" w:rsidRPr="00810037" w:rsidRDefault="00A25142" w:rsidP="00810037">
            <w:pPr>
              <w:pStyle w:val="Table0"/>
            </w:pPr>
            <w:r w:rsidRPr="00810037">
              <w:t>подпрограммы, мероприятия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0"/>
            </w:pPr>
            <w:r w:rsidRPr="00810037">
              <w:t>Источник финансирования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0"/>
            </w:pPr>
            <w:r w:rsidRPr="00810037">
              <w:t>Объем финансовых ресурсов, тыс. рублей</w:t>
            </w:r>
          </w:p>
        </w:tc>
      </w:tr>
      <w:tr w:rsidR="00A25142" w:rsidRPr="00810037">
        <w:trPr>
          <w:trHeight w:val="257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2016</w:t>
            </w:r>
          </w:p>
        </w:tc>
      </w:tr>
      <w:tr w:rsidR="00A25142" w:rsidRPr="00810037">
        <w:trPr>
          <w:tblHeader/>
          <w:tblCellSpacing w:w="5" w:type="nil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5</w:t>
            </w:r>
          </w:p>
        </w:tc>
      </w:tr>
      <w:tr w:rsidR="00A25142" w:rsidRPr="00810037">
        <w:trPr>
          <w:trHeight w:val="197"/>
          <w:tblCellSpacing w:w="5" w:type="nil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Всего по муниципальной программе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2016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7990,0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7309,0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7605,0</w:t>
            </w:r>
          </w:p>
        </w:tc>
      </w:tr>
      <w:tr w:rsidR="00A25142" w:rsidRPr="00810037">
        <w:trPr>
          <w:trHeight w:val="225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районный бюджет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6620,0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6239,0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6535,0</w:t>
            </w:r>
          </w:p>
        </w:tc>
      </w:tr>
      <w:tr w:rsidR="00A25142" w:rsidRPr="00810037">
        <w:trPr>
          <w:trHeight w:val="640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1370,0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1070,0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1070,0</w:t>
            </w:r>
          </w:p>
        </w:tc>
      </w:tr>
      <w:tr w:rsidR="00A25142" w:rsidRPr="00810037">
        <w:trPr>
          <w:trHeight w:val="253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федеральный 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областной бюджет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</w:tr>
      <w:tr w:rsidR="00A25142" w:rsidRPr="00810037">
        <w:trPr>
          <w:trHeight w:val="640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средства бюджетов государственных внебюджетных фондов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средства юридических и физических лиц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1370,0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1070,0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1070,0</w:t>
            </w: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3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Мероприятия: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trHeight w:val="212"/>
          <w:tblCellSpacing w:w="5" w:type="nil"/>
        </w:trPr>
        <w:tc>
          <w:tcPr>
            <w:tcW w:w="354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>
              <w:t xml:space="preserve">1. </w:t>
            </w:r>
            <w:r w:rsidRPr="00810037">
              <w:t>Выполнение муниципального задания, содержание помещения, оплату труда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Всего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7090,0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7309,0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7605,0</w:t>
            </w:r>
          </w:p>
        </w:tc>
      </w:tr>
      <w:tr w:rsidR="00A25142" w:rsidRPr="00810037">
        <w:trPr>
          <w:trHeight w:val="225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районный бюджет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6020,0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6239,0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6535,0</w:t>
            </w:r>
          </w:p>
        </w:tc>
      </w:tr>
      <w:tr w:rsidR="00A25142" w:rsidRPr="00810037">
        <w:trPr>
          <w:trHeight w:val="640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1070,0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1070,0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1070,0</w:t>
            </w: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федеральный 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</w:tr>
      <w:tr w:rsidR="00A25142" w:rsidRPr="00810037">
        <w:trPr>
          <w:trHeight w:val="225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областной бюджет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</w:tr>
      <w:tr w:rsidR="00A25142" w:rsidRPr="00810037">
        <w:trPr>
          <w:trHeight w:val="640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средства бюджетов государственных внебюджетных фондов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0</w:t>
            </w: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средства юридических и физических лиц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1070,0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1070,0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1070,0</w:t>
            </w: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Текущие расходы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>
              <w:t>1.1.</w:t>
            </w:r>
            <w:r w:rsidRPr="00810037">
              <w:t xml:space="preserve"> Заработная плата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4064,2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4282,2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4512,2</w:t>
            </w: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3972,0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4190,0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4420,0</w:t>
            </w: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92,2</w:t>
            </w: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средства бюджетов государственных внебюджетных фондов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trHeight w:val="554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92,2</w:t>
            </w: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>
              <w:t xml:space="preserve">1.2. </w:t>
            </w:r>
            <w:r w:rsidRPr="00810037">
              <w:t>Начисления на оплату труда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1227,8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1228,8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1294,8</w:t>
            </w: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1201,0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1267,0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27,8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средства бюджетов государственных внебюджетных фондов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27,8</w:t>
            </w:r>
          </w:p>
        </w:tc>
      </w:tr>
      <w:tr w:rsidR="00A25142" w:rsidRPr="00810037">
        <w:trPr>
          <w:gridBefore w:val="1"/>
          <w:trHeight w:val="244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>
              <w:t>1.3.</w:t>
            </w:r>
            <w:r w:rsidRPr="00810037">
              <w:t xml:space="preserve"> Услуги связи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200,0</w:t>
            </w:r>
          </w:p>
        </w:tc>
      </w:tr>
      <w:tr w:rsidR="00A25142" w:rsidRPr="00810037">
        <w:trPr>
          <w:gridBefore w:val="1"/>
          <w:trHeight w:val="191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150,0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50,0</w:t>
            </w:r>
          </w:p>
        </w:tc>
      </w:tr>
      <w:tr w:rsidR="00A25142" w:rsidRPr="00810037">
        <w:trPr>
          <w:gridBefore w:val="1"/>
          <w:trHeight w:val="304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252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средства бюджетов государственных внебюджетных фондов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50,0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>
              <w:t xml:space="preserve">1.4. </w:t>
            </w:r>
            <w:r w:rsidRPr="00810037">
              <w:t>Коммунальные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460,0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460,0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200,0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260,0</w:t>
            </w:r>
          </w:p>
        </w:tc>
      </w:tr>
      <w:tr w:rsidR="00A25142" w:rsidRPr="00810037">
        <w:trPr>
          <w:gridBefore w:val="1"/>
          <w:trHeight w:val="261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224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средства бюджетов государственных внебюджетных фондов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260,0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>
              <w:t xml:space="preserve">1.5. </w:t>
            </w:r>
            <w:r w:rsidRPr="00810037">
              <w:t>Услуги по содержанию имущества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190,0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100,0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90,0</w:t>
            </w:r>
          </w:p>
        </w:tc>
      </w:tr>
      <w:tr w:rsidR="00A25142" w:rsidRPr="00810037">
        <w:trPr>
          <w:gridBefore w:val="1"/>
          <w:trHeight w:val="248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195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средства бюджетов государственных внебюджетных фондов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90,0</w:t>
            </w:r>
          </w:p>
        </w:tc>
      </w:tr>
      <w:tr w:rsidR="00A25142" w:rsidRPr="00810037">
        <w:trPr>
          <w:gridBefore w:val="1"/>
          <w:trHeight w:val="197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>
              <w:t xml:space="preserve">1.6. </w:t>
            </w:r>
            <w:r w:rsidRPr="00810037">
              <w:t>Прочие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358,0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358,0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358,0</w:t>
            </w:r>
          </w:p>
        </w:tc>
      </w:tr>
      <w:tr w:rsidR="00A25142" w:rsidRPr="00810037">
        <w:trPr>
          <w:gridBefore w:val="1"/>
          <w:trHeight w:val="188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158,0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200,0</w:t>
            </w:r>
          </w:p>
        </w:tc>
      </w:tr>
      <w:tr w:rsidR="00A25142" w:rsidRPr="00810037">
        <w:trPr>
          <w:gridBefore w:val="1"/>
          <w:trHeight w:val="206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209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55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средства бюджетов государственных внебюджетных фондов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273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200,0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>
              <w:t xml:space="preserve">1.7. </w:t>
            </w:r>
            <w:r w:rsidRPr="00810037">
              <w:t>Прочие расходы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340,0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240,0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100,0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средства бюджетов государственных внебюджетных фондов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100,0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>
              <w:t xml:space="preserve">1.8. </w:t>
            </w:r>
            <w:r w:rsidRPr="00810037">
              <w:t>Хозрасходы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250,0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250,0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средства бюджетов государственных внебюджетных фондов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250,0</w:t>
            </w: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>
              <w:t xml:space="preserve">2. </w:t>
            </w:r>
            <w:r w:rsidRPr="00810037">
              <w:t>Удешевление услуг для жителей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 xml:space="preserve">средства бюджетов государственных внебюджетных фондов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gridBefore w:val="1"/>
          <w:trHeight w:val="320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</w:tr>
    </w:tbl>
    <w:p w:rsidR="00A25142" w:rsidRPr="00810037" w:rsidRDefault="00A25142" w:rsidP="00810037"/>
    <w:p w:rsidR="00A25142" w:rsidRPr="00810037" w:rsidRDefault="00A25142" w:rsidP="00810037">
      <w:pPr>
        <w:jc w:val="center"/>
        <w:rPr>
          <w:b/>
          <w:bCs/>
          <w:sz w:val="30"/>
          <w:szCs w:val="30"/>
        </w:rPr>
      </w:pPr>
      <w:r w:rsidRPr="00810037">
        <w:rPr>
          <w:b/>
          <w:bCs/>
          <w:sz w:val="30"/>
          <w:szCs w:val="30"/>
        </w:rPr>
        <w:t>5. Целевые показатели (индикаторы) Программы</w:t>
      </w:r>
    </w:p>
    <w:p w:rsidR="00A25142" w:rsidRPr="00810037" w:rsidRDefault="00A25142" w:rsidP="00810037">
      <w:pPr>
        <w:rPr>
          <w:highlight w:val="green"/>
        </w:rPr>
      </w:pPr>
    </w:p>
    <w:p w:rsidR="00A25142" w:rsidRPr="00810037" w:rsidRDefault="00A25142" w:rsidP="00810037">
      <w:r w:rsidRPr="00810037">
        <w:t>Совершенствование деятельности по предоставлению государственных и муниципальных услуг населению на базе Многофункционального центра позволит сократить сроки предоставления услуг, повысить комфортность их предоставления и минимизировать риски коррупционных проявлений, благодаря исключению возможности личного общения заявителя с лицом, непосредственно оказывающим услугу. Успешная реализация проекта приведет к значительному росту уровня доверия населения к власти.</w:t>
      </w:r>
    </w:p>
    <w:p w:rsidR="00A25142" w:rsidRPr="00810037" w:rsidRDefault="00A25142" w:rsidP="00810037">
      <w:r w:rsidRPr="00810037">
        <w:t>Данный проект предусматривает оказание разносторонних услуг на базе МФЦ и соответственно значим для всех категорий населения.</w:t>
      </w:r>
    </w:p>
    <w:p w:rsidR="00A25142" w:rsidRPr="00810037" w:rsidRDefault="00A25142" w:rsidP="00810037">
      <w:r w:rsidRPr="00810037">
        <w:t>Способы сбора информации для измерения показателей достижения результатов: социологическое исследование, анкетирование получателей государственных услуг, мониторинг качества предоставления государственных и муниципальных услуг.</w:t>
      </w:r>
    </w:p>
    <w:p w:rsidR="00A25142" w:rsidRPr="00810037" w:rsidRDefault="00A25142" w:rsidP="00810037">
      <w:r w:rsidRPr="00810037">
        <w:t>Основными итоговыми результатами проекта являются:</w:t>
      </w:r>
    </w:p>
    <w:p w:rsidR="00A25142" w:rsidRPr="00810037" w:rsidRDefault="00A25142" w:rsidP="00810037">
      <w:r w:rsidRPr="00810037">
        <w:t>- Повышение уровня доверия населения к органам власти.</w:t>
      </w:r>
    </w:p>
    <w:p w:rsidR="00A25142" w:rsidRPr="00810037" w:rsidRDefault="00A25142" w:rsidP="00810037">
      <w:r w:rsidRPr="00810037">
        <w:t xml:space="preserve">- Исключение непосредственное взаимодействие заявителей с уполномоченными органами при оформлении прав на объекты недвижимости. </w:t>
      </w:r>
    </w:p>
    <w:p w:rsidR="00A25142" w:rsidRPr="00810037" w:rsidRDefault="00A25142" w:rsidP="00810037">
      <w:r w:rsidRPr="00810037">
        <w:t>- Соблюдение и сокращение сроков оказания государственных и муниципальных услуг.</w:t>
      </w:r>
    </w:p>
    <w:p w:rsidR="00A25142" w:rsidRPr="00810037" w:rsidRDefault="00A25142" w:rsidP="00810037">
      <w:r w:rsidRPr="00810037">
        <w:t>- Обеспечение доступности предоставления государственных и муниципальных услуг.</w:t>
      </w:r>
    </w:p>
    <w:p w:rsidR="00A25142" w:rsidRPr="00810037" w:rsidRDefault="00A25142" w:rsidP="00810037">
      <w:r w:rsidRPr="00810037">
        <w:t>- Удешевление стоимости услуг для населения по оформлению прав на объекты недвижимости.</w:t>
      </w:r>
    </w:p>
    <w:p w:rsidR="00A25142" w:rsidRPr="00810037" w:rsidRDefault="00A25142" w:rsidP="00810037"/>
    <w:p w:rsidR="00A25142" w:rsidRPr="00810037" w:rsidRDefault="00A25142" w:rsidP="00810037">
      <w:r w:rsidRPr="00810037">
        <w:t>Ожидаемые результаты реализации Программы</w:t>
      </w:r>
    </w:p>
    <w:p w:rsidR="00A25142" w:rsidRPr="00810037" w:rsidRDefault="00A25142" w:rsidP="00810037"/>
    <w:p w:rsidR="00A25142" w:rsidRPr="00810037" w:rsidRDefault="00A25142" w:rsidP="00810037">
      <w:r w:rsidRPr="00810037">
        <w:t xml:space="preserve">- Удовлетворенность населения качеством предоставления государственных и муниципальных услуг в Крапивинском районе - 90 %. </w:t>
      </w:r>
    </w:p>
    <w:p w:rsidR="00A25142" w:rsidRPr="00810037" w:rsidRDefault="00A25142" w:rsidP="00810037">
      <w:r w:rsidRPr="00810037">
        <w:t>- Доля населения района, пользующихся государственными и муниципальными услугами МФЦ – 90 %.</w:t>
      </w:r>
    </w:p>
    <w:p w:rsidR="00A25142" w:rsidRPr="00810037" w:rsidRDefault="00A25142" w:rsidP="00810037">
      <w:r w:rsidRPr="00810037">
        <w:t>- Соблюдение (сокращение) сроков предоставления государственных и муниципальных услуг – 100%.</w:t>
      </w:r>
    </w:p>
    <w:p w:rsidR="00A25142" w:rsidRPr="00810037" w:rsidRDefault="00A25142" w:rsidP="00810037">
      <w:r w:rsidRPr="00810037">
        <w:t>- Доля помещений МФЦ для приема заявителей, которые соответствуют стандарту комфортности при предоставлении государственных услуг – 100%.</w:t>
      </w:r>
    </w:p>
    <w:p w:rsidR="00A25142" w:rsidRPr="00810037" w:rsidRDefault="00A25142" w:rsidP="00810037">
      <w:r w:rsidRPr="00810037">
        <w:t>- Доля государственных услуг предоставляемых в МФЦ информация, по которым содержится в сети Интернет – 100 %.</w:t>
      </w:r>
    </w:p>
    <w:p w:rsidR="00A25142" w:rsidRPr="00810037" w:rsidRDefault="00A25142" w:rsidP="00810037">
      <w:r w:rsidRPr="00810037">
        <w:t xml:space="preserve">- Исключение непосредственного взаимодействия заявителей с уполномоченными органами при оформлении прав на объекты недвижимости. </w:t>
      </w:r>
    </w:p>
    <w:p w:rsidR="00A25142" w:rsidRPr="00810037" w:rsidRDefault="00A25142" w:rsidP="00810037"/>
    <w:p w:rsidR="00A25142" w:rsidRPr="00810037" w:rsidRDefault="00A25142" w:rsidP="00810037">
      <w:pPr>
        <w:jc w:val="center"/>
        <w:rPr>
          <w:b/>
          <w:bCs/>
          <w:sz w:val="30"/>
          <w:szCs w:val="30"/>
        </w:rPr>
      </w:pPr>
      <w:r w:rsidRPr="00810037">
        <w:rPr>
          <w:b/>
          <w:bCs/>
          <w:sz w:val="30"/>
          <w:szCs w:val="30"/>
        </w:rPr>
        <w:t>Сведения о планируемых значениях целевых показателей (индикаторов) муниципальной программы</w:t>
      </w:r>
    </w:p>
    <w:p w:rsidR="00A25142" w:rsidRPr="00810037" w:rsidRDefault="00A25142" w:rsidP="00810037">
      <w:pPr>
        <w:rPr>
          <w:highlight w:val="green"/>
        </w:rPr>
      </w:pPr>
    </w:p>
    <w:tbl>
      <w:tblPr>
        <w:tblW w:w="500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8"/>
        <w:gridCol w:w="3603"/>
        <w:gridCol w:w="668"/>
        <w:gridCol w:w="790"/>
        <w:gridCol w:w="771"/>
        <w:gridCol w:w="784"/>
      </w:tblGrid>
      <w:tr w:rsidR="00A25142" w:rsidRPr="00810037">
        <w:trPr>
          <w:trHeight w:val="480"/>
          <w:tblCellSpacing w:w="5" w:type="nil"/>
        </w:trPr>
        <w:tc>
          <w:tcPr>
            <w:tcW w:w="2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0"/>
            </w:pPr>
            <w:r w:rsidRPr="00810037">
              <w:t>Наименование</w:t>
            </w:r>
            <w:r>
              <w:t xml:space="preserve"> </w:t>
            </w:r>
            <w:r w:rsidRPr="00810037">
              <w:t>муниципальной программы,</w:t>
            </w:r>
            <w:r>
              <w:t xml:space="preserve"> </w:t>
            </w:r>
            <w:r w:rsidRPr="00810037">
              <w:t>подпрограммы,</w:t>
            </w:r>
            <w:r>
              <w:t xml:space="preserve"> </w:t>
            </w:r>
            <w:r w:rsidRPr="00810037">
              <w:t>мероприятия</w:t>
            </w:r>
          </w:p>
        </w:tc>
        <w:tc>
          <w:tcPr>
            <w:tcW w:w="3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0"/>
            </w:pPr>
            <w:r w:rsidRPr="00810037">
              <w:t>Наименование целевого</w:t>
            </w:r>
            <w:r>
              <w:t xml:space="preserve"> </w:t>
            </w:r>
            <w:r w:rsidRPr="00810037">
              <w:t>показателя (индикатора)</w:t>
            </w:r>
          </w:p>
        </w:tc>
        <w:tc>
          <w:tcPr>
            <w:tcW w:w="6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A25142" w:rsidRPr="00810037" w:rsidRDefault="00A25142" w:rsidP="0081003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Едини</w:t>
            </w:r>
            <w:r w:rsidRPr="00810037">
              <w:rPr>
                <w:b/>
                <w:bCs/>
              </w:rPr>
              <w:t>ца</w:t>
            </w:r>
          </w:p>
          <w:p w:rsidR="00A25142" w:rsidRPr="00810037" w:rsidRDefault="00A25142" w:rsidP="00810037">
            <w:pPr>
              <w:pStyle w:val="Table"/>
              <w:rPr>
                <w:b/>
                <w:bCs/>
              </w:rPr>
            </w:pPr>
            <w:r w:rsidRPr="00810037">
              <w:rPr>
                <w:b/>
                <w:bCs/>
              </w:rPr>
              <w:t>измерения</w:t>
            </w:r>
          </w:p>
        </w:tc>
        <w:tc>
          <w:tcPr>
            <w:tcW w:w="2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  <w:rPr>
                <w:b/>
                <w:bCs/>
              </w:rPr>
            </w:pPr>
            <w:r w:rsidRPr="00810037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A25142" w:rsidRPr="00810037">
        <w:trPr>
          <w:trHeight w:val="345"/>
          <w:tblCellSpacing w:w="5" w:type="nil"/>
        </w:trPr>
        <w:tc>
          <w:tcPr>
            <w:tcW w:w="28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3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  <w:rPr>
                <w:b/>
                <w:bCs/>
              </w:rPr>
            </w:pP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  <w:rPr>
                <w:b/>
                <w:bCs/>
              </w:rPr>
            </w:pPr>
            <w:r w:rsidRPr="00810037">
              <w:rPr>
                <w:b/>
                <w:bCs/>
              </w:rPr>
              <w:t>2014</w:t>
            </w:r>
          </w:p>
        </w:tc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  <w:rPr>
                <w:b/>
                <w:bCs/>
              </w:rPr>
            </w:pPr>
            <w:r w:rsidRPr="00810037">
              <w:rPr>
                <w:b/>
                <w:bCs/>
              </w:rPr>
              <w:t>2015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  <w:rPr>
                <w:b/>
                <w:bCs/>
              </w:rPr>
            </w:pPr>
            <w:r w:rsidRPr="00810037">
              <w:rPr>
                <w:b/>
                <w:bCs/>
              </w:rPr>
              <w:t>2016</w:t>
            </w:r>
          </w:p>
        </w:tc>
      </w:tr>
      <w:tr w:rsidR="00A25142" w:rsidRPr="00810037">
        <w:trPr>
          <w:tblCellSpacing w:w="5" w:type="nil"/>
        </w:trPr>
        <w:tc>
          <w:tcPr>
            <w:tcW w:w="2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1</w:t>
            </w:r>
          </w:p>
        </w:tc>
        <w:tc>
          <w:tcPr>
            <w:tcW w:w="3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2</w:t>
            </w:r>
          </w:p>
        </w:tc>
        <w:tc>
          <w:tcPr>
            <w:tcW w:w="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4</w:t>
            </w:r>
          </w:p>
        </w:tc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5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6</w:t>
            </w:r>
          </w:p>
        </w:tc>
      </w:tr>
      <w:tr w:rsidR="00A25142" w:rsidRPr="00810037">
        <w:trPr>
          <w:trHeight w:val="480"/>
          <w:tblCellSpacing w:w="5" w:type="nil"/>
        </w:trPr>
        <w:tc>
          <w:tcPr>
            <w:tcW w:w="28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2016 годы</w:t>
            </w:r>
          </w:p>
        </w:tc>
        <w:tc>
          <w:tcPr>
            <w:tcW w:w="3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Удовлетворенность населения качеством предоставления государственных и муниципальных услуг в Крапивинском районе</w:t>
            </w:r>
          </w:p>
        </w:tc>
        <w:tc>
          <w:tcPr>
            <w:tcW w:w="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%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70</w:t>
            </w:r>
          </w:p>
        </w:tc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80</w:t>
            </w:r>
          </w:p>
          <w:p w:rsidR="00A25142" w:rsidRPr="00810037" w:rsidRDefault="00A25142" w:rsidP="00810037">
            <w:pPr>
              <w:pStyle w:val="Table"/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90</w:t>
            </w: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28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3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Доля населения района, пользующихся государственными и муниципальными услугами МФЦ</w:t>
            </w:r>
          </w:p>
        </w:tc>
        <w:tc>
          <w:tcPr>
            <w:tcW w:w="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%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70</w:t>
            </w:r>
          </w:p>
        </w:tc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80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90</w:t>
            </w:r>
          </w:p>
          <w:p w:rsidR="00A25142" w:rsidRPr="00810037" w:rsidRDefault="00A25142" w:rsidP="00810037">
            <w:pPr>
              <w:pStyle w:val="Table"/>
            </w:pP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28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3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Соблюдение (сокращение) сроков предоставления государственных и муниципальных услуг – 100%</w:t>
            </w:r>
          </w:p>
        </w:tc>
        <w:tc>
          <w:tcPr>
            <w:tcW w:w="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%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80</w:t>
            </w:r>
          </w:p>
        </w:tc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90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100</w:t>
            </w: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28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3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Доля помещений МФЦ для приема заявителей, которые соответствуют стандарту комфортности при предоставлении государственных услуг – 100 %.</w:t>
            </w:r>
          </w:p>
        </w:tc>
        <w:tc>
          <w:tcPr>
            <w:tcW w:w="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%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100</w:t>
            </w:r>
          </w:p>
        </w:tc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100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100</w:t>
            </w: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28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3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Доля государственных услуг предоставляемых в МФЦ информация, по которым содержится в сети Интернет – 100 %</w:t>
            </w:r>
          </w:p>
        </w:tc>
        <w:tc>
          <w:tcPr>
            <w:tcW w:w="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%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80</w:t>
            </w:r>
          </w:p>
          <w:p w:rsidR="00A25142" w:rsidRPr="00810037" w:rsidRDefault="00A25142" w:rsidP="00810037">
            <w:pPr>
              <w:pStyle w:val="Table"/>
            </w:pPr>
          </w:p>
        </w:tc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90</w:t>
            </w:r>
          </w:p>
          <w:p w:rsidR="00A25142" w:rsidRPr="00810037" w:rsidRDefault="00A25142" w:rsidP="00810037">
            <w:pPr>
              <w:pStyle w:val="Table"/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100</w:t>
            </w:r>
          </w:p>
        </w:tc>
      </w:tr>
      <w:tr w:rsidR="00A25142" w:rsidRPr="00810037">
        <w:trPr>
          <w:trHeight w:val="1636"/>
          <w:tblCellSpacing w:w="5" w:type="nil"/>
        </w:trPr>
        <w:tc>
          <w:tcPr>
            <w:tcW w:w="288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3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Исключение непосредственного взаимодействия заявителей с уполномоченными органами при оформлении прав на объекты недвижимости</w:t>
            </w:r>
          </w:p>
        </w:tc>
        <w:tc>
          <w:tcPr>
            <w:tcW w:w="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%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60</w:t>
            </w:r>
          </w:p>
        </w:tc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70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80</w:t>
            </w:r>
          </w:p>
        </w:tc>
      </w:tr>
      <w:tr w:rsidR="00A25142" w:rsidRPr="00810037">
        <w:trPr>
          <w:trHeight w:val="480"/>
          <w:tblCellSpacing w:w="5" w:type="nil"/>
        </w:trPr>
        <w:tc>
          <w:tcPr>
            <w:tcW w:w="28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3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Выполнение муниципального гос. задания</w:t>
            </w:r>
          </w:p>
        </w:tc>
        <w:tc>
          <w:tcPr>
            <w:tcW w:w="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%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100</w:t>
            </w:r>
          </w:p>
        </w:tc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100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100</w:t>
            </w:r>
          </w:p>
        </w:tc>
      </w:tr>
      <w:tr w:rsidR="00A25142" w:rsidRPr="00810037">
        <w:trPr>
          <w:trHeight w:val="808"/>
          <w:tblCellSpacing w:w="5" w:type="nil"/>
        </w:trPr>
        <w:tc>
          <w:tcPr>
            <w:tcW w:w="288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3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Отсутствие кредиторской задолженности</w:t>
            </w:r>
          </w:p>
        </w:tc>
        <w:tc>
          <w:tcPr>
            <w:tcW w:w="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%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100</w:t>
            </w:r>
          </w:p>
        </w:tc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100</w:t>
            </w:r>
          </w:p>
          <w:p w:rsidR="00A25142" w:rsidRPr="00810037" w:rsidRDefault="00A25142" w:rsidP="00810037">
            <w:pPr>
              <w:pStyle w:val="Table"/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100</w:t>
            </w:r>
          </w:p>
        </w:tc>
      </w:tr>
      <w:tr w:rsidR="00A25142" w:rsidRPr="00810037">
        <w:trPr>
          <w:trHeight w:val="320"/>
          <w:tblCellSpacing w:w="5" w:type="nil"/>
        </w:trPr>
        <w:tc>
          <w:tcPr>
            <w:tcW w:w="28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  <w:r w:rsidRPr="00810037">
              <w:t>Своевременная выплата заработной платы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%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100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100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142" w:rsidRPr="00810037" w:rsidRDefault="00A25142" w:rsidP="00810037">
            <w:pPr>
              <w:pStyle w:val="Table"/>
            </w:pPr>
          </w:p>
          <w:p w:rsidR="00A25142" w:rsidRPr="00810037" w:rsidRDefault="00A25142" w:rsidP="00810037">
            <w:pPr>
              <w:pStyle w:val="Table"/>
            </w:pPr>
            <w:r w:rsidRPr="00810037">
              <w:t>100</w:t>
            </w:r>
          </w:p>
        </w:tc>
      </w:tr>
    </w:tbl>
    <w:p w:rsidR="00A25142" w:rsidRPr="00810037" w:rsidRDefault="00A25142" w:rsidP="00810037"/>
    <w:p w:rsidR="00A25142" w:rsidRPr="00810037" w:rsidRDefault="00A25142" w:rsidP="00810037">
      <w:pPr>
        <w:rPr>
          <w:highlight w:val="green"/>
        </w:rPr>
      </w:pPr>
      <w:r w:rsidRPr="00810037">
        <w:t>Для оценки эффективности реализации муниципальной программы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2016 годы применяется методика оценки эффективности программы, которая устанавливает порядок оценки эффективности программы, необходимость внесения в неё изменений и дополнений (Приложение №1).</w:t>
      </w:r>
    </w:p>
    <w:p w:rsidR="00A25142" w:rsidRPr="00810037" w:rsidRDefault="00A25142" w:rsidP="00810037"/>
    <w:p w:rsidR="00A25142" w:rsidRPr="00810037" w:rsidRDefault="00A25142" w:rsidP="00810037">
      <w:pPr>
        <w:jc w:val="right"/>
        <w:rPr>
          <w:b/>
          <w:bCs/>
          <w:kern w:val="28"/>
          <w:sz w:val="32"/>
          <w:szCs w:val="32"/>
        </w:rPr>
      </w:pPr>
      <w:r w:rsidRPr="00810037">
        <w:rPr>
          <w:b/>
          <w:bCs/>
          <w:kern w:val="28"/>
          <w:sz w:val="32"/>
          <w:szCs w:val="32"/>
        </w:rPr>
        <w:t>Приложение №1</w:t>
      </w:r>
    </w:p>
    <w:p w:rsidR="00A25142" w:rsidRDefault="00A25142" w:rsidP="00810037">
      <w:pPr>
        <w:jc w:val="right"/>
        <w:rPr>
          <w:b/>
          <w:bCs/>
          <w:kern w:val="28"/>
          <w:sz w:val="32"/>
          <w:szCs w:val="32"/>
        </w:rPr>
      </w:pPr>
      <w:r w:rsidRPr="00810037">
        <w:rPr>
          <w:b/>
          <w:bCs/>
          <w:kern w:val="28"/>
          <w:sz w:val="32"/>
          <w:szCs w:val="32"/>
        </w:rPr>
        <w:t>к муниципальной программе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</w:t>
      </w:r>
      <w:r>
        <w:rPr>
          <w:b/>
          <w:bCs/>
          <w:kern w:val="28"/>
          <w:sz w:val="32"/>
          <w:szCs w:val="32"/>
        </w:rPr>
        <w:t>винского муниципального района»</w:t>
      </w:r>
    </w:p>
    <w:p w:rsidR="00A25142" w:rsidRPr="00810037" w:rsidRDefault="00A25142" w:rsidP="00810037">
      <w:pPr>
        <w:jc w:val="right"/>
        <w:rPr>
          <w:b/>
          <w:bCs/>
          <w:kern w:val="28"/>
          <w:sz w:val="32"/>
          <w:szCs w:val="32"/>
        </w:rPr>
      </w:pPr>
      <w:bookmarkStart w:id="0" w:name="_GoBack"/>
      <w:bookmarkEnd w:id="0"/>
      <w:r w:rsidRPr="00810037">
        <w:rPr>
          <w:b/>
          <w:bCs/>
          <w:kern w:val="28"/>
          <w:sz w:val="32"/>
          <w:szCs w:val="32"/>
        </w:rPr>
        <w:t>на 2014 – 2016 годы</w:t>
      </w:r>
    </w:p>
    <w:p w:rsidR="00A25142" w:rsidRPr="00810037" w:rsidRDefault="00A25142" w:rsidP="00810037"/>
    <w:p w:rsidR="00A25142" w:rsidRPr="00810037" w:rsidRDefault="00A25142" w:rsidP="00810037">
      <w:pPr>
        <w:jc w:val="center"/>
        <w:rPr>
          <w:b/>
          <w:bCs/>
          <w:kern w:val="32"/>
          <w:sz w:val="32"/>
          <w:szCs w:val="32"/>
        </w:rPr>
      </w:pPr>
      <w:r w:rsidRPr="00810037">
        <w:rPr>
          <w:b/>
          <w:bCs/>
          <w:kern w:val="32"/>
          <w:sz w:val="32"/>
          <w:szCs w:val="32"/>
        </w:rPr>
        <w:t>Методика оценки эффективности Программы</w:t>
      </w:r>
    </w:p>
    <w:p w:rsidR="00A25142" w:rsidRPr="00810037" w:rsidRDefault="00A25142" w:rsidP="00810037"/>
    <w:p w:rsidR="00A25142" w:rsidRPr="00810037" w:rsidRDefault="00A25142" w:rsidP="00810037">
      <w:pPr>
        <w:numPr>
          <w:ilvl w:val="0"/>
          <w:numId w:val="14"/>
        </w:numPr>
        <w:jc w:val="center"/>
        <w:rPr>
          <w:b/>
          <w:bCs/>
          <w:sz w:val="30"/>
          <w:szCs w:val="30"/>
        </w:rPr>
      </w:pPr>
      <w:r w:rsidRPr="00810037">
        <w:rPr>
          <w:b/>
          <w:bCs/>
          <w:sz w:val="30"/>
          <w:szCs w:val="30"/>
        </w:rPr>
        <w:t>Общие положения</w:t>
      </w:r>
    </w:p>
    <w:p w:rsidR="00A25142" w:rsidRPr="00810037" w:rsidRDefault="00A25142" w:rsidP="00810037"/>
    <w:p w:rsidR="00A25142" w:rsidRPr="00810037" w:rsidRDefault="00A25142" w:rsidP="00810037">
      <w:r w:rsidRPr="00810037">
        <w:t>Настоящая Методика оценки эффективности реализации муниципальной программы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2016 годы (далее - Методика) устанавливает порядок оценки эффективности программы, необходимость внесения в неё изменений и дополнений.</w:t>
      </w:r>
    </w:p>
    <w:p w:rsidR="00A25142" w:rsidRPr="00810037" w:rsidRDefault="00A25142" w:rsidP="00810037"/>
    <w:p w:rsidR="00A25142" w:rsidRPr="00810037" w:rsidRDefault="00A25142" w:rsidP="00810037">
      <w:pPr>
        <w:numPr>
          <w:ilvl w:val="0"/>
          <w:numId w:val="14"/>
        </w:numPr>
        <w:jc w:val="center"/>
      </w:pPr>
      <w:r w:rsidRPr="00810037">
        <w:rPr>
          <w:b/>
          <w:bCs/>
          <w:sz w:val="30"/>
          <w:szCs w:val="30"/>
        </w:rPr>
        <w:t>Порядок проведения оценки эффективности</w:t>
      </w:r>
    </w:p>
    <w:p w:rsidR="00A25142" w:rsidRPr="00810037" w:rsidRDefault="00A25142" w:rsidP="00810037"/>
    <w:p w:rsidR="00A25142" w:rsidRPr="00810037" w:rsidRDefault="00A25142" w:rsidP="00810037">
      <w:r w:rsidRPr="00810037">
        <w:t>2.1. По Программе ежегодно проводится оценка эффективности ее реализации.</w:t>
      </w:r>
    </w:p>
    <w:p w:rsidR="00A25142" w:rsidRPr="00810037" w:rsidRDefault="00A25142" w:rsidP="00810037">
      <w:r w:rsidRPr="00810037">
        <w:t>2.2. После завершения очередного финансового года Ответственный исполнитель (координатор) муниципальной Программы представляет в отдел экономического развития администрации Крапивинского муниципального района годовой отчет о реализации Программы для осуществления оценки эффективности ее реализации.</w:t>
      </w:r>
    </w:p>
    <w:p w:rsidR="00A25142" w:rsidRPr="00810037" w:rsidRDefault="00A25142" w:rsidP="00810037">
      <w:r w:rsidRPr="00810037">
        <w:t>2.3.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A25142" w:rsidRPr="00810037" w:rsidRDefault="00A25142" w:rsidP="00810037">
      <w:r w:rsidRPr="00810037">
        <w:t>По каждому направлению в случае существенных различий (как положительных,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A25142" w:rsidRPr="00810037" w:rsidRDefault="00A25142" w:rsidP="00810037">
      <w:r w:rsidRPr="00810037">
        <w:t>2.4. По результатам факторного анализа обосновываются изменение тактических задач, состава и количественных значений показателей, а также изменение объемов финансирования данной Программы на очередной финансовый год.</w:t>
      </w:r>
    </w:p>
    <w:p w:rsidR="00A25142" w:rsidRPr="00810037" w:rsidRDefault="00A25142" w:rsidP="00810037">
      <w:r w:rsidRPr="00810037">
        <w:t>2.5. По результатам оценки эффективности реализации Программы администрация не позднее, чем за один месяц до дня внесения проекта решения о бюджете Крапивинского муниципального района на очередной финансовый год (очередной финансовый год и плановый период) принимает решение о финансировании или сокращении начиная с очередного финансового года бюджетных ассигнований на реализацию Программы, или о досрочном прекращении ее реализации.</w:t>
      </w:r>
    </w:p>
    <w:p w:rsidR="00A25142" w:rsidRPr="00810037" w:rsidRDefault="00A25142" w:rsidP="00810037">
      <w:r w:rsidRPr="00810037">
        <w:t>В случае принятия данного решения и при наличии заключенных во исполнение соответствующей Программы муниципальных контрактов в бюджете Крапивинского муниципального района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A25142" w:rsidRPr="00810037" w:rsidRDefault="00A25142" w:rsidP="00810037"/>
    <w:p w:rsidR="00A25142" w:rsidRPr="00810037" w:rsidRDefault="00A25142" w:rsidP="00810037">
      <w:pPr>
        <w:numPr>
          <w:ilvl w:val="0"/>
          <w:numId w:val="14"/>
        </w:numPr>
        <w:jc w:val="center"/>
        <w:rPr>
          <w:b/>
          <w:bCs/>
          <w:sz w:val="30"/>
          <w:szCs w:val="30"/>
        </w:rPr>
      </w:pPr>
      <w:r w:rsidRPr="00810037">
        <w:rPr>
          <w:b/>
          <w:bCs/>
          <w:sz w:val="30"/>
          <w:szCs w:val="30"/>
        </w:rPr>
        <w:t>Критерии оценки эффективности реализации Программы</w:t>
      </w:r>
    </w:p>
    <w:p w:rsidR="00A25142" w:rsidRPr="00810037" w:rsidRDefault="00A25142" w:rsidP="00810037"/>
    <w:p w:rsidR="00A25142" w:rsidRPr="00810037" w:rsidRDefault="00A25142" w:rsidP="00810037">
      <w:r w:rsidRPr="00810037">
        <w:t>Критериями эффективности муниципальной программы:</w:t>
      </w:r>
    </w:p>
    <w:p w:rsidR="00A25142" w:rsidRPr="00810037" w:rsidRDefault="00A25142" w:rsidP="00810037">
      <w:r w:rsidRPr="00810037">
        <w:t xml:space="preserve">3.1. Соответствие Программы системе приоритетов социально-экономического развития Крапивинского муниципального района </w:t>
      </w:r>
      <w:hyperlink r:id="rId5" w:history="1">
        <w:r w:rsidRPr="00810037">
          <w:rPr>
            <w:rStyle w:val="Hyperlink"/>
            <w:rFonts w:cs="Arial"/>
            <w:color w:val="auto"/>
          </w:rPr>
          <w:t>(К1)</w:t>
        </w:r>
      </w:hyperlink>
      <w:r w:rsidRPr="00810037">
        <w:t>.</w:t>
      </w:r>
    </w:p>
    <w:p w:rsidR="00A25142" w:rsidRPr="00810037" w:rsidRDefault="00A25142" w:rsidP="00810037">
      <w:r w:rsidRPr="00810037">
        <w:t xml:space="preserve">3.2. Постановка в Программе задач, условием решения которых является применение программно-целевого метода </w:t>
      </w:r>
      <w:hyperlink r:id="rId6" w:history="1">
        <w:r w:rsidRPr="00810037">
          <w:rPr>
            <w:rStyle w:val="Hyperlink"/>
            <w:rFonts w:cs="Arial"/>
            <w:color w:val="auto"/>
          </w:rPr>
          <w:t>(К2)</w:t>
        </w:r>
      </w:hyperlink>
      <w:r w:rsidRPr="00810037">
        <w:t>.</w:t>
      </w:r>
    </w:p>
    <w:p w:rsidR="00A25142" w:rsidRPr="00810037" w:rsidRDefault="00A25142" w:rsidP="00810037">
      <w:r w:rsidRPr="00810037">
        <w:t xml:space="preserve">3.3. Уровень проработки целевых показателей и индикаторов эффективности реализации Программы </w:t>
      </w:r>
      <w:hyperlink r:id="rId7" w:history="1">
        <w:r w:rsidRPr="00810037">
          <w:rPr>
            <w:rStyle w:val="Hyperlink"/>
            <w:rFonts w:cs="Arial"/>
            <w:color w:val="auto"/>
          </w:rPr>
          <w:t>(К3)</w:t>
        </w:r>
      </w:hyperlink>
      <w:r w:rsidRPr="00810037">
        <w:t>.</w:t>
      </w:r>
    </w:p>
    <w:p w:rsidR="00A25142" w:rsidRPr="00810037" w:rsidRDefault="00A25142" w:rsidP="00810037">
      <w:r w:rsidRPr="00810037">
        <w:t xml:space="preserve">3.4. Уровень финансового обеспечения Программы </w:t>
      </w:r>
      <w:hyperlink r:id="rId8" w:history="1">
        <w:r w:rsidRPr="00810037">
          <w:rPr>
            <w:rStyle w:val="Hyperlink"/>
            <w:rFonts w:cs="Arial"/>
            <w:color w:val="auto"/>
          </w:rPr>
          <w:t>(К4)</w:t>
        </w:r>
      </w:hyperlink>
      <w:r w:rsidRPr="00810037">
        <w:t>.</w:t>
      </w:r>
    </w:p>
    <w:p w:rsidR="00A25142" w:rsidRPr="00810037" w:rsidRDefault="00A25142" w:rsidP="00810037">
      <w:r w:rsidRPr="00810037">
        <w:t xml:space="preserve">3.5. Организация управления и контроля за ходом исполнения Программы </w:t>
      </w:r>
      <w:hyperlink r:id="rId9" w:history="1">
        <w:r w:rsidRPr="00810037">
          <w:rPr>
            <w:rStyle w:val="Hyperlink"/>
            <w:rFonts w:cs="Arial"/>
            <w:color w:val="auto"/>
          </w:rPr>
          <w:t>(К5)</w:t>
        </w:r>
      </w:hyperlink>
      <w:r w:rsidRPr="00810037">
        <w:t>.</w:t>
      </w:r>
    </w:p>
    <w:p w:rsidR="00A25142" w:rsidRPr="00810037" w:rsidRDefault="00A25142" w:rsidP="00810037">
      <w:r w:rsidRPr="00810037">
        <w:t xml:space="preserve">Каждый критерий эффективности Программы рассчитывается в соответствии с балльной системой оценки, определенной </w:t>
      </w:r>
      <w:hyperlink r:id="rId10" w:history="1">
        <w:r w:rsidRPr="00810037">
          <w:rPr>
            <w:rStyle w:val="Hyperlink"/>
            <w:rFonts w:cs="Arial"/>
            <w:color w:val="auto"/>
          </w:rPr>
          <w:t>приложением</w:t>
        </w:r>
      </w:hyperlink>
      <w:r w:rsidRPr="00810037">
        <w:t xml:space="preserve"> к настоящей Методике.</w:t>
      </w:r>
    </w:p>
    <w:p w:rsidR="00A25142" w:rsidRPr="00810037" w:rsidRDefault="00A25142" w:rsidP="00810037">
      <w:r w:rsidRPr="00810037"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A25142" w:rsidRPr="00810037" w:rsidRDefault="00A25142" w:rsidP="00810037">
      <w:r w:rsidRPr="00810037">
        <w:t>К = К1 + К2 + К3 + К4 + К5</w:t>
      </w:r>
    </w:p>
    <w:p w:rsidR="00A25142" w:rsidRPr="00810037" w:rsidRDefault="00A25142" w:rsidP="00810037">
      <w:r w:rsidRPr="00810037">
        <w:t>Для оценки итоговых интегральных оценок может использоваться следующая качественная шкала:</w:t>
      </w:r>
    </w:p>
    <w:p w:rsidR="00A25142" w:rsidRPr="00810037" w:rsidRDefault="00A25142" w:rsidP="00810037"/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149"/>
        <w:gridCol w:w="4345"/>
      </w:tblGrid>
      <w:tr w:rsidR="00A25142" w:rsidRPr="00810037">
        <w:trPr>
          <w:cantSplit/>
          <w:trHeight w:val="36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0"/>
            </w:pPr>
            <w:r w:rsidRPr="00810037">
              <w:t>Суммарное значение интегрального</w:t>
            </w:r>
            <w:r>
              <w:t xml:space="preserve"> </w:t>
            </w:r>
            <w:r w:rsidRPr="00810037">
              <w:t>показателя 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0"/>
            </w:pPr>
            <w:r w:rsidRPr="00810037">
              <w:t>Качественная характеристика</w:t>
            </w:r>
            <w:r>
              <w:t xml:space="preserve"> </w:t>
            </w:r>
            <w:r w:rsidRPr="00810037">
              <w:t>Программы</w:t>
            </w:r>
          </w:p>
        </w:tc>
      </w:tr>
      <w:tr w:rsidR="00A25142" w:rsidRPr="00810037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от 45 до 50 баллов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эффективная</w:t>
            </w:r>
          </w:p>
        </w:tc>
      </w:tr>
      <w:tr w:rsidR="00A25142" w:rsidRPr="00810037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от 35 до 45 баллов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достаточно эффективная</w:t>
            </w:r>
          </w:p>
        </w:tc>
      </w:tr>
      <w:tr w:rsidR="00A25142" w:rsidRPr="00810037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от 25 до 35 баллов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малоэффективная</w:t>
            </w:r>
          </w:p>
        </w:tc>
      </w:tr>
      <w:tr w:rsidR="00A25142" w:rsidRPr="00810037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менее 25 баллов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неэффективная</w:t>
            </w:r>
          </w:p>
        </w:tc>
      </w:tr>
    </w:tbl>
    <w:p w:rsidR="00A25142" w:rsidRPr="00810037" w:rsidRDefault="00A25142" w:rsidP="00810037"/>
    <w:p w:rsidR="00A25142" w:rsidRPr="00F367D4" w:rsidRDefault="00A25142" w:rsidP="00F367D4">
      <w:pPr>
        <w:numPr>
          <w:ilvl w:val="0"/>
          <w:numId w:val="14"/>
        </w:numPr>
        <w:jc w:val="center"/>
        <w:rPr>
          <w:b/>
          <w:bCs/>
          <w:sz w:val="30"/>
          <w:szCs w:val="30"/>
        </w:rPr>
      </w:pPr>
      <w:r w:rsidRPr="00F367D4">
        <w:rPr>
          <w:b/>
          <w:bCs/>
          <w:sz w:val="30"/>
          <w:szCs w:val="30"/>
        </w:rPr>
        <w:t>Система оценки эффективности реализации муниципальной программы</w:t>
      </w:r>
    </w:p>
    <w:p w:rsidR="00A25142" w:rsidRPr="00810037" w:rsidRDefault="00A25142" w:rsidP="00810037"/>
    <w:tbl>
      <w:tblPr>
        <w:tblW w:w="5000" w:type="pct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2267"/>
        <w:gridCol w:w="5526"/>
        <w:gridCol w:w="851"/>
      </w:tblGrid>
      <w:tr w:rsidR="00A25142" w:rsidRPr="0081003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0"/>
            </w:pPr>
            <w:r w:rsidRPr="00810037">
              <w:t>Критерии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0"/>
            </w:pPr>
            <w:r w:rsidRPr="00810037">
              <w:t>Формулировка критерия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0"/>
            </w:pPr>
            <w:r w:rsidRPr="00810037">
              <w:t>Содержание критерия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0"/>
            </w:pPr>
            <w:r w:rsidRPr="00810037">
              <w:t>Балл</w:t>
            </w:r>
          </w:p>
        </w:tc>
      </w:tr>
      <w:tr w:rsidR="00A25142" w:rsidRPr="00810037">
        <w:trPr>
          <w:cantSplit/>
          <w:trHeight w:val="180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К1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Соответствие Программы</w:t>
            </w:r>
            <w:r>
              <w:t xml:space="preserve"> </w:t>
            </w:r>
            <w:r w:rsidRPr="00810037">
              <w:t>системе приоритетов</w:t>
            </w:r>
            <w:r>
              <w:t xml:space="preserve">  </w:t>
            </w:r>
            <w:r w:rsidRPr="00810037">
              <w:t xml:space="preserve"> социально-экономического развития Крапивинского муниципального района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Проблема отнесена нормативными правовыми актами муниципального уровня к</w:t>
            </w:r>
            <w:r>
              <w:t xml:space="preserve"> </w:t>
            </w:r>
            <w:r w:rsidRPr="00810037">
              <w:t>приоритетным задачам социально-экономического развития, решаемым, в том числе программно-целевыми методами, и соответствует проблемной отрасли одной или нескольких действующих или разрабатываемых федеральных, областных и муниципальных целевых программ или их</w:t>
            </w:r>
            <w:r>
              <w:t xml:space="preserve"> </w:t>
            </w:r>
            <w:r w:rsidRPr="00810037">
              <w:t>подпрограмм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10</w:t>
            </w:r>
          </w:p>
        </w:tc>
      </w:tr>
      <w:tr w:rsidR="00A25142" w:rsidRPr="00810037">
        <w:trPr>
          <w:cantSplit/>
          <w:trHeight w:val="132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2. Проблема не отнесена нормативными правовыми актами, но характеризуется показателями, значения которых значительно (более чем на 30%) отличаются от среднероссийских или средне-областных в худшую</w:t>
            </w:r>
            <w:r>
              <w:t xml:space="preserve"> </w:t>
            </w:r>
            <w:r w:rsidRPr="00810037">
              <w:t>сторону и имеют</w:t>
            </w:r>
            <w:r>
              <w:t xml:space="preserve"> </w:t>
            </w:r>
            <w:r w:rsidRPr="00810037">
              <w:t xml:space="preserve"> неблагоприятную динамику)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5</w:t>
            </w:r>
          </w:p>
        </w:tc>
      </w:tr>
      <w:tr w:rsidR="00A25142" w:rsidRPr="00810037">
        <w:trPr>
          <w:cantSplit/>
          <w:trHeight w:val="96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3. Проблема не отнесена</w:t>
            </w:r>
            <w:r>
              <w:t xml:space="preserve"> </w:t>
            </w:r>
            <w:r w:rsidRPr="00810037">
              <w:t>нормативными правовыми актами и материалы программного документа не позволяют сделать однозначных выводов об имеющихся неблагоприятных тенденциях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0</w:t>
            </w:r>
          </w:p>
        </w:tc>
      </w:tr>
      <w:tr w:rsidR="00A25142" w:rsidRPr="00810037">
        <w:trPr>
          <w:cantSplit/>
          <w:trHeight w:val="108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К2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Постановка в Программе задач, условием решения которых является</w:t>
            </w:r>
            <w:r>
              <w:t xml:space="preserve"> </w:t>
            </w:r>
            <w:r w:rsidRPr="00810037">
              <w:t xml:space="preserve"> применение программно-целевого</w:t>
            </w:r>
            <w:r>
              <w:t xml:space="preserve">  </w:t>
            </w:r>
            <w:r w:rsidRPr="00810037">
              <w:t xml:space="preserve">метода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1. Наличие федеральной или областной целевой программы аналогичной направленности, которая содержит рекомендации о разработке исполнительными органами местного</w:t>
            </w:r>
            <w:r>
              <w:t xml:space="preserve">  </w:t>
            </w:r>
            <w:r w:rsidRPr="00810037">
              <w:t>самоуправления соответствующих программ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10</w:t>
            </w:r>
          </w:p>
        </w:tc>
      </w:tr>
      <w:tr w:rsidR="00A25142" w:rsidRPr="00810037">
        <w:trPr>
          <w:cantSplit/>
          <w:trHeight w:val="156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2. Программный документ соответствует критерию, но в перечне мероприятий значительное количество представляет собой текущую деятельность администрации и подведомственных ей учреждений. Кроме того, часть мероприятий Программы дублирует мероприятия других муниципальных целевых программ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5</w:t>
            </w:r>
          </w:p>
        </w:tc>
      </w:tr>
      <w:tr w:rsidR="00A25142" w:rsidRPr="00810037">
        <w:trPr>
          <w:cantSplit/>
          <w:trHeight w:val="36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3. Программный документ не соответствует критерию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0</w:t>
            </w:r>
          </w:p>
        </w:tc>
      </w:tr>
      <w:tr w:rsidR="00A25142" w:rsidRPr="00810037">
        <w:trPr>
          <w:cantSplit/>
          <w:trHeight w:val="120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К3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Уровень проработки</w:t>
            </w:r>
            <w:r>
              <w:t xml:space="preserve"> </w:t>
            </w:r>
            <w:r w:rsidRPr="00810037">
              <w:t>целевых показателей и индикаторов</w:t>
            </w:r>
            <w:r>
              <w:t xml:space="preserve"> </w:t>
            </w:r>
            <w:r w:rsidRPr="00810037">
              <w:t>эффективности реализации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1. Наличие в Программе целевых показателей эффективности Программы, динамики показателей по годам реализации Программы. В случае отсутствия статистических сведений разработаны методы расчета текущих значений показателей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10</w:t>
            </w:r>
          </w:p>
        </w:tc>
      </w:tr>
      <w:tr w:rsidR="00A25142" w:rsidRPr="00810037">
        <w:trPr>
          <w:cantSplit/>
          <w:trHeight w:val="8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2. В Программе рассчитаны</w:t>
            </w:r>
            <w:r>
              <w:t xml:space="preserve"> </w:t>
            </w:r>
            <w:r w:rsidRPr="00810037">
              <w:t>целевые показатели эффективности реализации</w:t>
            </w:r>
            <w:r>
              <w:t xml:space="preserve"> </w:t>
            </w:r>
            <w:r w:rsidRPr="00810037">
              <w:t>Программы. Методика расчета этих показателей в Программе отсутствует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5</w:t>
            </w:r>
          </w:p>
        </w:tc>
      </w:tr>
      <w:tr w:rsidR="00A25142" w:rsidRPr="00810037">
        <w:trPr>
          <w:cantSplit/>
          <w:trHeight w:val="48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 xml:space="preserve">3. Целевые показатели эффективности Программы отсутствуют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0</w:t>
            </w:r>
          </w:p>
        </w:tc>
      </w:tr>
      <w:tr w:rsidR="00A25142" w:rsidRPr="00810037">
        <w:trPr>
          <w:cantSplit/>
          <w:trHeight w:val="72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К4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Уровень финансового</w:t>
            </w:r>
            <w:r>
              <w:t xml:space="preserve"> </w:t>
            </w:r>
            <w:r w:rsidRPr="00810037">
              <w:t>обеспечения Программы и его структурные</w:t>
            </w:r>
            <w:r>
              <w:t xml:space="preserve"> </w:t>
            </w:r>
            <w:r w:rsidRPr="00810037">
              <w:t xml:space="preserve">параметры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1. Финансовое обеспечение Программы из всех источников финансирования составило свыше 80 процентов от запланированного значения</w:t>
            </w:r>
            <w:r>
              <w:t xml:space="preserve">  </w:t>
            </w:r>
            <w:r w:rsidRPr="00810037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10</w:t>
            </w:r>
          </w:p>
        </w:tc>
      </w:tr>
      <w:tr w:rsidR="00A25142" w:rsidRPr="00810037">
        <w:trPr>
          <w:cantSplit/>
          <w:trHeight w:val="72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2. Финансовое обеспечение Программы из всех источников финансирования составило от 50 до 80 процентов от запланированного значения</w:t>
            </w:r>
            <w:r>
              <w:t xml:space="preserve">  </w:t>
            </w:r>
            <w:r w:rsidRPr="00810037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5</w:t>
            </w:r>
          </w:p>
        </w:tc>
      </w:tr>
      <w:tr w:rsidR="00A25142" w:rsidRPr="00810037">
        <w:trPr>
          <w:cantSplit/>
          <w:trHeight w:val="72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3. Финансовое обеспечение</w:t>
            </w:r>
            <w:r>
              <w:t xml:space="preserve"> </w:t>
            </w:r>
            <w:r w:rsidRPr="00810037">
              <w:t>Программы из всех источников</w:t>
            </w:r>
            <w:r>
              <w:t xml:space="preserve"> </w:t>
            </w:r>
            <w:r w:rsidRPr="00810037">
              <w:t>финансирования составило</w:t>
            </w:r>
            <w:r>
              <w:t xml:space="preserve"> </w:t>
            </w:r>
            <w:r w:rsidRPr="00810037">
              <w:t>менее 50 процентов от запланированного значения</w:t>
            </w:r>
            <w:r>
              <w:t xml:space="preserve">  </w:t>
            </w:r>
            <w:r w:rsidRPr="00810037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0</w:t>
            </w:r>
          </w:p>
        </w:tc>
      </w:tr>
      <w:tr w:rsidR="00A25142" w:rsidRPr="00810037">
        <w:trPr>
          <w:cantSplit/>
          <w:trHeight w:val="60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К5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Организация управления и контроля за ходом исполнения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1. Ежегодный отчет о ходе</w:t>
            </w:r>
            <w:r>
              <w:t xml:space="preserve"> </w:t>
            </w:r>
            <w:r w:rsidRPr="00810037">
              <w:t>реализации Программы полностью соответствует установленным требованиям и рекомендациям</w:t>
            </w:r>
            <w:r>
              <w:t xml:space="preserve"> </w:t>
            </w:r>
            <w:r w:rsidRPr="00810037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10</w:t>
            </w:r>
          </w:p>
        </w:tc>
      </w:tr>
      <w:tr w:rsidR="00A25142" w:rsidRPr="00810037">
        <w:trPr>
          <w:cantSplit/>
          <w:trHeight w:val="8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2. Ежегодный отчет о ходе</w:t>
            </w:r>
            <w:r>
              <w:t xml:space="preserve"> </w:t>
            </w:r>
            <w:r w:rsidRPr="00810037">
              <w:t>реализации Программы не содержит полного объема сведений, что затрудняет объективную оценку хода</w:t>
            </w:r>
            <w:r>
              <w:t xml:space="preserve"> </w:t>
            </w:r>
            <w:r w:rsidRPr="00810037">
              <w:t>реализации Программы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5</w:t>
            </w:r>
          </w:p>
        </w:tc>
      </w:tr>
      <w:tr w:rsidR="00A25142" w:rsidRPr="00810037">
        <w:trPr>
          <w:cantSplit/>
          <w:trHeight w:val="72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3. Отчет о ходе реализации Программы не соответствует установленным требованиям и рекомендациям и должен быть переработан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42" w:rsidRPr="00810037" w:rsidRDefault="00A25142" w:rsidP="00F367D4">
            <w:pPr>
              <w:pStyle w:val="Table"/>
            </w:pPr>
            <w:r w:rsidRPr="00810037">
              <w:t>0</w:t>
            </w:r>
          </w:p>
        </w:tc>
      </w:tr>
    </w:tbl>
    <w:p w:rsidR="00A25142" w:rsidRPr="00810037" w:rsidRDefault="00A25142" w:rsidP="00F367D4"/>
    <w:sectPr w:rsidR="00A25142" w:rsidRPr="00810037" w:rsidSect="0081003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3028AE"/>
    <w:multiLevelType w:val="hybridMultilevel"/>
    <w:tmpl w:val="D10688AA"/>
    <w:lvl w:ilvl="0" w:tplc="A21805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2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23A79"/>
    <w:rsid w:val="00167D66"/>
    <w:rsid w:val="001C6765"/>
    <w:rsid w:val="00296BD0"/>
    <w:rsid w:val="0030253F"/>
    <w:rsid w:val="00305C34"/>
    <w:rsid w:val="003333D0"/>
    <w:rsid w:val="00374F1C"/>
    <w:rsid w:val="00393CD0"/>
    <w:rsid w:val="004068CD"/>
    <w:rsid w:val="0042463F"/>
    <w:rsid w:val="00474014"/>
    <w:rsid w:val="00477B94"/>
    <w:rsid w:val="00561200"/>
    <w:rsid w:val="00613715"/>
    <w:rsid w:val="00621100"/>
    <w:rsid w:val="006A5D89"/>
    <w:rsid w:val="006A7E75"/>
    <w:rsid w:val="00706DAF"/>
    <w:rsid w:val="007902F6"/>
    <w:rsid w:val="007B070F"/>
    <w:rsid w:val="007E7193"/>
    <w:rsid w:val="007F6713"/>
    <w:rsid w:val="00802A23"/>
    <w:rsid w:val="00810037"/>
    <w:rsid w:val="00871C45"/>
    <w:rsid w:val="00A25142"/>
    <w:rsid w:val="00A55A07"/>
    <w:rsid w:val="00AC6DEF"/>
    <w:rsid w:val="00B21FDF"/>
    <w:rsid w:val="00B242FB"/>
    <w:rsid w:val="00B94BD9"/>
    <w:rsid w:val="00BE4D7F"/>
    <w:rsid w:val="00C32079"/>
    <w:rsid w:val="00C50822"/>
    <w:rsid w:val="00C71DB0"/>
    <w:rsid w:val="00CE133A"/>
    <w:rsid w:val="00D87981"/>
    <w:rsid w:val="00D904AF"/>
    <w:rsid w:val="00DD7D23"/>
    <w:rsid w:val="00E06DB3"/>
    <w:rsid w:val="00EC1FBC"/>
    <w:rsid w:val="00F3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10037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1003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1003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1003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10037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7F671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7F671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F671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7F6713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F67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List3">
    <w:name w:val="Table List 3"/>
    <w:basedOn w:val="TableNormal"/>
    <w:uiPriority w:val="99"/>
    <w:rsid w:val="007F6713"/>
    <w:rPr>
      <w:rFonts w:ascii="Arial" w:eastAsia="Times New Roman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7F6713"/>
  </w:style>
  <w:style w:type="character" w:customStyle="1" w:styleId="BodyTextChar">
    <w:name w:val="Body Text Char"/>
    <w:basedOn w:val="DefaultParagraphFont"/>
    <w:link w:val="BodyText"/>
    <w:uiPriority w:val="99"/>
    <w:rsid w:val="007F6713"/>
    <w:rPr>
      <w:rFonts w:ascii="Arial" w:hAnsi="Arial" w:cs="Arial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7F6713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7F6713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F67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1003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1003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7F6713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1003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10037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1003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10037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10037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customStyle="1" w:styleId="ConsPlusCell">
    <w:name w:val="ConsPlusCell"/>
    <w:uiPriority w:val="99"/>
    <w:rsid w:val="007F67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10721;fld=134;dst=10015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MOB;n=110721;fld=134;dst=1001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10721;fld=134;dst=100145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MOB;n=110721;fld=134;dst=100142" TargetMode="External"/><Relationship Id="rId10" Type="http://schemas.openxmlformats.org/officeDocument/2006/relationships/hyperlink" Target="consultantplus://offline/main?base=MOB;n=110721;fld=134;dst=100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MOB;n=110721;fld=134;dst=1001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14</Pages>
  <Words>4309</Words>
  <Characters>24563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2013-11-05T09:25:00Z</cp:lastPrinted>
  <dcterms:created xsi:type="dcterms:W3CDTF">2013-11-12T09:18:00Z</dcterms:created>
  <dcterms:modified xsi:type="dcterms:W3CDTF">2013-11-13T03:09:00Z</dcterms:modified>
</cp:coreProperties>
</file>