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Приложение №1</w:t>
      </w:r>
    </w:p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от 19.12.2014 г. №1808</w:t>
      </w:r>
    </w:p>
    <w:p w:rsidR="00E1367B" w:rsidRPr="001E6478" w:rsidRDefault="00E1367B" w:rsidP="001E6478">
      <w:pPr>
        <w:jc w:val="center"/>
        <w:rPr>
          <w:b/>
          <w:bCs/>
          <w:kern w:val="32"/>
          <w:sz w:val="32"/>
          <w:szCs w:val="32"/>
        </w:rPr>
      </w:pPr>
    </w:p>
    <w:p w:rsidR="00E1367B" w:rsidRPr="001E6478" w:rsidRDefault="00E1367B" w:rsidP="001E6478">
      <w:pPr>
        <w:jc w:val="center"/>
        <w:rPr>
          <w:b/>
          <w:bCs/>
          <w:kern w:val="32"/>
          <w:sz w:val="32"/>
          <w:szCs w:val="32"/>
        </w:rPr>
      </w:pPr>
      <w:r w:rsidRPr="001E6478">
        <w:rPr>
          <w:b/>
          <w:bCs/>
          <w:kern w:val="32"/>
          <w:sz w:val="32"/>
          <w:szCs w:val="32"/>
        </w:rPr>
        <w:t>СОСТАВ комиссии по реорганизации муниципального бюджетного дошкольного образовательного учреждения «Крапивинский детский сад №1 «Солнышко» путем присоединения к нему муниципального казенного дошкольного образовательного учреждения «Крапивинский детский сад №4 «Теремок»</w:t>
      </w:r>
    </w:p>
    <w:p w:rsidR="00E1367B" w:rsidRPr="001E6478" w:rsidRDefault="00E1367B" w:rsidP="001E6478"/>
    <w:tbl>
      <w:tblPr>
        <w:tblW w:w="5000" w:type="pct"/>
        <w:tblInd w:w="-106" w:type="dxa"/>
        <w:tblLayout w:type="fixed"/>
        <w:tblLook w:val="01E0"/>
      </w:tblPr>
      <w:tblGrid>
        <w:gridCol w:w="2613"/>
        <w:gridCol w:w="6957"/>
      </w:tblGrid>
      <w:tr w:rsidR="00E1367B" w:rsidRPr="001E6478">
        <w:tc>
          <w:tcPr>
            <w:tcW w:w="2673" w:type="dxa"/>
          </w:tcPr>
          <w:p w:rsidR="00E1367B" w:rsidRPr="001E6478" w:rsidRDefault="00E1367B" w:rsidP="001E6478">
            <w:pPr>
              <w:pStyle w:val="Table0"/>
              <w:jc w:val="both"/>
            </w:pPr>
            <w:r w:rsidRPr="001E6478">
              <w:t>Барган Елена Борисовна</w:t>
            </w:r>
          </w:p>
        </w:tc>
        <w:tc>
          <w:tcPr>
            <w:tcW w:w="7125" w:type="dxa"/>
          </w:tcPr>
          <w:p w:rsidR="00E1367B" w:rsidRPr="001E6478" w:rsidRDefault="00E1367B" w:rsidP="001E6478">
            <w:pPr>
              <w:pStyle w:val="Table0"/>
              <w:jc w:val="both"/>
            </w:pPr>
            <w:r w:rsidRPr="001E6478">
              <w:t>- заведующий муниципальным бюджетным дошкольным образовательным учреждением «Крапивинский детский сад №1 «Солнышко», председатель комиссии</w:t>
            </w:r>
            <w:bookmarkStart w:id="0" w:name="_GoBack"/>
            <w:bookmarkEnd w:id="0"/>
          </w:p>
        </w:tc>
      </w:tr>
      <w:tr w:rsidR="00E1367B" w:rsidRPr="001E6478">
        <w:trPr>
          <w:trHeight w:val="712"/>
        </w:trPr>
        <w:tc>
          <w:tcPr>
            <w:tcW w:w="2673" w:type="dxa"/>
            <w:vAlign w:val="center"/>
          </w:tcPr>
          <w:p w:rsidR="00E1367B" w:rsidRPr="001E6478" w:rsidRDefault="00E1367B" w:rsidP="001E6478">
            <w:pPr>
              <w:pStyle w:val="Table"/>
            </w:pPr>
            <w:r w:rsidRPr="001E6478">
              <w:t>Члены комиссии:</w:t>
            </w:r>
          </w:p>
        </w:tc>
        <w:tc>
          <w:tcPr>
            <w:tcW w:w="7125" w:type="dxa"/>
          </w:tcPr>
          <w:p w:rsidR="00E1367B" w:rsidRPr="001E6478" w:rsidRDefault="00E1367B" w:rsidP="001E6478">
            <w:pPr>
              <w:pStyle w:val="Table"/>
            </w:pPr>
          </w:p>
        </w:tc>
      </w:tr>
      <w:tr w:rsidR="00E1367B" w:rsidRPr="001E6478">
        <w:tc>
          <w:tcPr>
            <w:tcW w:w="2673" w:type="dxa"/>
          </w:tcPr>
          <w:p w:rsidR="00E1367B" w:rsidRPr="001E6478" w:rsidRDefault="00E1367B" w:rsidP="001E6478">
            <w:pPr>
              <w:pStyle w:val="Table"/>
            </w:pPr>
            <w:r w:rsidRPr="001E6478">
              <w:t>Прокудина Нина Николаевна</w:t>
            </w:r>
          </w:p>
        </w:tc>
        <w:tc>
          <w:tcPr>
            <w:tcW w:w="7125" w:type="dxa"/>
          </w:tcPr>
          <w:p w:rsidR="00E1367B" w:rsidRPr="001E6478" w:rsidRDefault="00E1367B" w:rsidP="001E6478">
            <w:pPr>
              <w:pStyle w:val="Table"/>
            </w:pPr>
            <w:r w:rsidRPr="001E6478">
              <w:t>- начальник управления образования администрации Крапивинского муниципального района</w:t>
            </w:r>
          </w:p>
        </w:tc>
      </w:tr>
      <w:tr w:rsidR="00E1367B" w:rsidRPr="001E6478">
        <w:tc>
          <w:tcPr>
            <w:tcW w:w="2673" w:type="dxa"/>
          </w:tcPr>
          <w:p w:rsidR="00E1367B" w:rsidRPr="001E6478" w:rsidRDefault="00E1367B" w:rsidP="001E6478">
            <w:pPr>
              <w:pStyle w:val="Table"/>
            </w:pPr>
            <w:r w:rsidRPr="001E6478">
              <w:t>Шерина Татьяна Брониславовна</w:t>
            </w:r>
          </w:p>
        </w:tc>
        <w:tc>
          <w:tcPr>
            <w:tcW w:w="7125" w:type="dxa"/>
          </w:tcPr>
          <w:p w:rsidR="00E1367B" w:rsidRPr="001E6478" w:rsidRDefault="00E1367B" w:rsidP="001E6478">
            <w:pPr>
              <w:pStyle w:val="Table"/>
            </w:pPr>
            <w:r w:rsidRPr="001E6478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E1367B" w:rsidRPr="001E6478">
        <w:tc>
          <w:tcPr>
            <w:tcW w:w="2673" w:type="dxa"/>
          </w:tcPr>
          <w:p w:rsidR="00E1367B" w:rsidRPr="001E6478" w:rsidRDefault="00E1367B" w:rsidP="001E6478">
            <w:pPr>
              <w:pStyle w:val="Table"/>
            </w:pPr>
            <w:r w:rsidRPr="001E6478">
              <w:t>Дубинина Татьяна Викторовна</w:t>
            </w:r>
          </w:p>
        </w:tc>
        <w:tc>
          <w:tcPr>
            <w:tcW w:w="7125" w:type="dxa"/>
          </w:tcPr>
          <w:p w:rsidR="00E1367B" w:rsidRPr="001E6478" w:rsidRDefault="00E1367B" w:rsidP="001E6478">
            <w:pPr>
              <w:pStyle w:val="Table"/>
            </w:pPr>
            <w:r w:rsidRPr="001E6478">
              <w:t>заведующий муниципальным казенным дошкольным образовательным учреждением «Крапивинский детский сад №4 «Теремок»</w:t>
            </w:r>
          </w:p>
        </w:tc>
      </w:tr>
    </w:tbl>
    <w:p w:rsidR="00E1367B" w:rsidRPr="001E6478" w:rsidRDefault="00E1367B" w:rsidP="001E6478"/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Приложение №2</w:t>
      </w:r>
    </w:p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1367B" w:rsidRPr="001E6478" w:rsidRDefault="00E1367B" w:rsidP="001E6478">
      <w:pPr>
        <w:jc w:val="right"/>
        <w:rPr>
          <w:b/>
          <w:bCs/>
          <w:kern w:val="28"/>
          <w:sz w:val="32"/>
          <w:szCs w:val="32"/>
        </w:rPr>
      </w:pPr>
      <w:r w:rsidRPr="001E6478">
        <w:rPr>
          <w:b/>
          <w:bCs/>
          <w:kern w:val="28"/>
          <w:sz w:val="32"/>
          <w:szCs w:val="32"/>
        </w:rPr>
        <w:t>от 19.12.2014 г. №1808</w:t>
      </w:r>
    </w:p>
    <w:p w:rsidR="00E1367B" w:rsidRPr="001E6478" w:rsidRDefault="00E1367B" w:rsidP="001E6478"/>
    <w:p w:rsidR="00E1367B" w:rsidRPr="001E6478" w:rsidRDefault="00E1367B" w:rsidP="001E6478">
      <w:pPr>
        <w:jc w:val="center"/>
        <w:rPr>
          <w:b/>
          <w:bCs/>
          <w:kern w:val="32"/>
          <w:sz w:val="32"/>
          <w:szCs w:val="32"/>
        </w:rPr>
      </w:pPr>
      <w:r w:rsidRPr="001E6478">
        <w:rPr>
          <w:b/>
          <w:bCs/>
          <w:kern w:val="32"/>
          <w:sz w:val="32"/>
          <w:szCs w:val="32"/>
        </w:rPr>
        <w:t>ПЛАН мероприятий по реорганизации муниципального бюджетного дошкольного образовательного учреждения «Крапивинский детский сад №1 «Солнышко» путем присоединения к нему муниципального казенного дошкольного образовательного учреждения «Крапивинский детский сад №4 «Теремок»</w:t>
      </w:r>
    </w:p>
    <w:p w:rsidR="00E1367B" w:rsidRPr="001E6478" w:rsidRDefault="00E1367B" w:rsidP="001E6478"/>
    <w:tbl>
      <w:tblPr>
        <w:tblW w:w="4819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3689"/>
        <w:gridCol w:w="2791"/>
        <w:gridCol w:w="2134"/>
      </w:tblGrid>
      <w:tr w:rsidR="00E1367B" w:rsidRPr="001E6478">
        <w:trPr>
          <w:cantSplit/>
          <w:trHeight w:val="360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7B" w:rsidRPr="001E6478" w:rsidRDefault="00E1367B" w:rsidP="001E6478">
            <w:pPr>
              <w:pStyle w:val="Table0"/>
            </w:pPr>
            <w:r w:rsidRPr="001E6478">
              <w:t>№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7B" w:rsidRPr="001E6478" w:rsidRDefault="00E1367B" w:rsidP="001E6478">
            <w:pPr>
              <w:pStyle w:val="Table0"/>
            </w:pPr>
            <w:r w:rsidRPr="001E6478">
              <w:t>Наименования мероприятий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7B" w:rsidRPr="001E6478" w:rsidRDefault="00E1367B" w:rsidP="001E6478">
            <w:pPr>
              <w:pStyle w:val="Table0"/>
            </w:pPr>
            <w:r w:rsidRPr="001E6478">
              <w:t>Исполнители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67B" w:rsidRPr="001E6478" w:rsidRDefault="00E1367B" w:rsidP="001E6478">
            <w:pPr>
              <w:pStyle w:val="Table0"/>
            </w:pPr>
            <w:r w:rsidRPr="001E6478">
              <w:t>Сроки выполнения</w:t>
            </w:r>
          </w:p>
        </w:tc>
      </w:tr>
      <w:tr w:rsidR="00E1367B" w:rsidRPr="001E6478">
        <w:trPr>
          <w:cantSplit/>
          <w:trHeight w:val="7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1.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Уведомление регистрирующего органа о реорганизации юридического лица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в трехдневный срок с момента подписания постановления</w:t>
            </w:r>
          </w:p>
        </w:tc>
      </w:tr>
      <w:tr w:rsidR="00E1367B" w:rsidRPr="001E6478">
        <w:trPr>
          <w:cantSplit/>
          <w:trHeight w:val="7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2.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Внесение изменений в Программу реструктуризации сети образовательных учреждений Крапивинского</w:t>
            </w:r>
            <w:r>
              <w:t xml:space="preserve"> </w:t>
            </w:r>
            <w:r w:rsidRPr="001E6478">
              <w:t>района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УО администрации Крапивинского муниципального района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15.12.2014г.</w:t>
            </w:r>
          </w:p>
        </w:tc>
      </w:tr>
      <w:tr w:rsidR="00E1367B" w:rsidRPr="001E6478">
        <w:trPr>
          <w:cantSplit/>
          <w:trHeight w:val="163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3.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Направление уведомления о предстоящей реорганизации во внебюджетные фонды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в течение 3-х рабочих дней со дня принятия решения</w:t>
            </w:r>
          </w:p>
        </w:tc>
      </w:tr>
      <w:tr w:rsidR="00E1367B" w:rsidRPr="001E6478">
        <w:trPr>
          <w:cantSplit/>
          <w:trHeight w:val="8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4.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Размещение в органах печати информации о реорганизации юридического лица, порядке и сроке заявления требований</w:t>
            </w:r>
            <w:r>
              <w:t xml:space="preserve"> </w:t>
            </w:r>
            <w:r w:rsidRPr="001E6478">
              <w:t xml:space="preserve">кредиторами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в трехдневный срок с момента подписания постановления </w:t>
            </w:r>
          </w:p>
        </w:tc>
      </w:tr>
      <w:tr w:rsidR="00E1367B" w:rsidRPr="001E6478">
        <w:trPr>
          <w:cantSplit/>
          <w:trHeight w:val="180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5.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Комиссия.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не позднее двух месяцев с момента помещения в органах печати публикации о реорганизации учреждения </w:t>
            </w:r>
          </w:p>
        </w:tc>
      </w:tr>
      <w:tr w:rsidR="00E1367B" w:rsidRPr="001E6478">
        <w:trPr>
          <w:cantSplit/>
          <w:trHeight w:val="147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6.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Письменное извещение</w:t>
            </w:r>
            <w:r>
              <w:t xml:space="preserve"> </w:t>
            </w:r>
            <w:r w:rsidRPr="001E6478">
              <w:t>кредиторов о реорганизации</w:t>
            </w:r>
            <w:r>
              <w:t xml:space="preserve"> </w:t>
            </w:r>
            <w:r w:rsidRPr="001E6478">
              <w:t xml:space="preserve">юридического лица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с момента помещения в органах печати публикации о реорганизации</w:t>
            </w:r>
            <w:r>
              <w:t xml:space="preserve"> </w:t>
            </w:r>
            <w:r w:rsidRPr="001E6478">
              <w:t xml:space="preserve">учреждения </w:t>
            </w:r>
          </w:p>
        </w:tc>
      </w:tr>
      <w:tr w:rsidR="00E1367B" w:rsidRPr="001E6478">
        <w:trPr>
          <w:cantSplit/>
          <w:trHeight w:val="7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7.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Письменное уведомление работников</w:t>
            </w:r>
            <w:r>
              <w:t xml:space="preserve"> </w:t>
            </w:r>
            <w:r w:rsidRPr="001E6478">
              <w:t>о реорганизации учреждения</w:t>
            </w:r>
            <w:r>
              <w:t xml:space="preserve"> </w:t>
            </w:r>
            <w:r w:rsidRPr="001E6478">
              <w:t xml:space="preserve">в соответствии с Трудовым кодексом Российской Федерации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Заведующий учреждения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15.01.2015г.</w:t>
            </w:r>
          </w:p>
        </w:tc>
      </w:tr>
      <w:tr w:rsidR="00E1367B" w:rsidRPr="001E6478">
        <w:trPr>
          <w:cantSplit/>
          <w:trHeight w:val="150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8.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Проведение инвентаризации основных средств и проверки</w:t>
            </w:r>
            <w:r>
              <w:t xml:space="preserve"> </w:t>
            </w:r>
            <w:r w:rsidRPr="001E6478">
              <w:t>финансово-хозяйственной</w:t>
            </w:r>
            <w:r>
              <w:t xml:space="preserve"> </w:t>
            </w:r>
            <w:r w:rsidRPr="001E6478">
              <w:t>деятельности присоединяемых</w:t>
            </w:r>
            <w:r>
              <w:t xml:space="preserve"> </w:t>
            </w:r>
            <w:r w:rsidRPr="001E6478">
              <w:t xml:space="preserve">учреждений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в соответствии с действующим законодательством</w:t>
            </w:r>
          </w:p>
        </w:tc>
      </w:tr>
      <w:tr w:rsidR="00E1367B" w:rsidRPr="001E6478">
        <w:trPr>
          <w:cantSplit/>
          <w:trHeight w:val="1429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9.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 xml:space="preserve"> 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по истечении двух месяцев с момента регистрации постановления</w:t>
            </w:r>
          </w:p>
        </w:tc>
      </w:tr>
      <w:tr w:rsidR="00E1367B" w:rsidRPr="001E6478">
        <w:trPr>
          <w:cantSplit/>
          <w:trHeight w:val="164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10.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Произведение расчетов с кредиторами и принятие</w:t>
            </w:r>
            <w:r>
              <w:t xml:space="preserve"> </w:t>
            </w:r>
            <w:r w:rsidRPr="001E6478">
              <w:t xml:space="preserve">мер к взысканию дебиторской задолженности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л</w:t>
            </w:r>
            <w:r>
              <w:t>иквидационная 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по истечении месяца со дня утверждения промежуточного ликвидационного</w:t>
            </w:r>
            <w:r>
              <w:t xml:space="preserve"> </w:t>
            </w:r>
            <w:r w:rsidRPr="001E6478">
              <w:t xml:space="preserve">баланса </w:t>
            </w:r>
          </w:p>
        </w:tc>
      </w:tr>
      <w:tr w:rsidR="00E1367B" w:rsidRPr="001E6478">
        <w:trPr>
          <w:cantSplit/>
          <w:trHeight w:val="88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11.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Закрытие лицевого счета реорганизуемых учреждений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после проведения вышеперечисленных процедур</w:t>
            </w:r>
          </w:p>
        </w:tc>
      </w:tr>
      <w:tr w:rsidR="00E1367B" w:rsidRPr="001E6478">
        <w:trPr>
          <w:cantSplit/>
          <w:trHeight w:val="96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12.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после проведения вышеперечисленных процедур</w:t>
            </w:r>
          </w:p>
        </w:tc>
      </w:tr>
      <w:tr w:rsidR="00E1367B" w:rsidRPr="001E6478">
        <w:trPr>
          <w:cantSplit/>
          <w:trHeight w:val="96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13.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Уведомление комитета по управлению муниципальным имуществом о внесении</w:t>
            </w:r>
            <w:r>
              <w:t xml:space="preserve"> </w:t>
            </w:r>
            <w:r w:rsidRPr="001E6478">
              <w:t xml:space="preserve">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Комиссия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с момента прекращения деятельности юридического лица</w:t>
            </w:r>
          </w:p>
        </w:tc>
      </w:tr>
      <w:tr w:rsidR="00E1367B" w:rsidRPr="001E6478">
        <w:trPr>
          <w:cantSplit/>
          <w:trHeight w:val="8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14.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Внесение изменений в реестр муниципальной</w:t>
            </w:r>
            <w:r>
              <w:t xml:space="preserve"> </w:t>
            </w:r>
            <w:r w:rsidRPr="001E6478">
              <w:t xml:space="preserve">собственности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67B" w:rsidRPr="001E6478" w:rsidRDefault="00E1367B" w:rsidP="001E6478">
            <w:pPr>
              <w:pStyle w:val="Table"/>
            </w:pPr>
            <w:r w:rsidRPr="001E6478">
              <w:t>с момента прекращения деятельности юридического лица</w:t>
            </w:r>
          </w:p>
        </w:tc>
      </w:tr>
    </w:tbl>
    <w:p w:rsidR="00E1367B" w:rsidRPr="001E6478" w:rsidRDefault="00E1367B" w:rsidP="001E6478"/>
    <w:sectPr w:rsidR="00E1367B" w:rsidRPr="001E6478" w:rsidSect="001E647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718F5"/>
    <w:rsid w:val="000A164A"/>
    <w:rsid w:val="000E3F92"/>
    <w:rsid w:val="000F7AC4"/>
    <w:rsid w:val="00103CE8"/>
    <w:rsid w:val="001448D5"/>
    <w:rsid w:val="0016004A"/>
    <w:rsid w:val="001654C0"/>
    <w:rsid w:val="00192D0D"/>
    <w:rsid w:val="001B6C71"/>
    <w:rsid w:val="001E6478"/>
    <w:rsid w:val="00221410"/>
    <w:rsid w:val="00233DB7"/>
    <w:rsid w:val="002450C3"/>
    <w:rsid w:val="002D2388"/>
    <w:rsid w:val="002E1EA4"/>
    <w:rsid w:val="00301B30"/>
    <w:rsid w:val="00346CAF"/>
    <w:rsid w:val="00365BE6"/>
    <w:rsid w:val="003A557D"/>
    <w:rsid w:val="00403977"/>
    <w:rsid w:val="004140B0"/>
    <w:rsid w:val="00426E54"/>
    <w:rsid w:val="004308CD"/>
    <w:rsid w:val="00476E9C"/>
    <w:rsid w:val="00492202"/>
    <w:rsid w:val="004E4B4F"/>
    <w:rsid w:val="00506970"/>
    <w:rsid w:val="00531974"/>
    <w:rsid w:val="00532ECD"/>
    <w:rsid w:val="005E6BE0"/>
    <w:rsid w:val="00616770"/>
    <w:rsid w:val="00630F23"/>
    <w:rsid w:val="00667688"/>
    <w:rsid w:val="006728B7"/>
    <w:rsid w:val="006D06E4"/>
    <w:rsid w:val="0070781E"/>
    <w:rsid w:val="0075647F"/>
    <w:rsid w:val="00757E0A"/>
    <w:rsid w:val="00785FFC"/>
    <w:rsid w:val="00787956"/>
    <w:rsid w:val="007C7D8D"/>
    <w:rsid w:val="00831E28"/>
    <w:rsid w:val="00850D57"/>
    <w:rsid w:val="00857B5A"/>
    <w:rsid w:val="00896417"/>
    <w:rsid w:val="008C0B44"/>
    <w:rsid w:val="008F1136"/>
    <w:rsid w:val="00902925"/>
    <w:rsid w:val="00937574"/>
    <w:rsid w:val="00967E21"/>
    <w:rsid w:val="009D4750"/>
    <w:rsid w:val="009F3A68"/>
    <w:rsid w:val="00A3417A"/>
    <w:rsid w:val="00A56B34"/>
    <w:rsid w:val="00A6281F"/>
    <w:rsid w:val="00A7165C"/>
    <w:rsid w:val="00A91B48"/>
    <w:rsid w:val="00AA15F3"/>
    <w:rsid w:val="00B31D37"/>
    <w:rsid w:val="00B5098A"/>
    <w:rsid w:val="00BB4690"/>
    <w:rsid w:val="00BD1068"/>
    <w:rsid w:val="00BF7556"/>
    <w:rsid w:val="00C062CB"/>
    <w:rsid w:val="00D07E07"/>
    <w:rsid w:val="00D20A30"/>
    <w:rsid w:val="00DE2637"/>
    <w:rsid w:val="00E105F0"/>
    <w:rsid w:val="00E121D6"/>
    <w:rsid w:val="00E1367B"/>
    <w:rsid w:val="00E24AE4"/>
    <w:rsid w:val="00E31B6D"/>
    <w:rsid w:val="00E379CD"/>
    <w:rsid w:val="00E86358"/>
    <w:rsid w:val="00EE3FDE"/>
    <w:rsid w:val="00EE53E0"/>
    <w:rsid w:val="00EF43F9"/>
    <w:rsid w:val="00F95434"/>
    <w:rsid w:val="00FC44FB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E647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E647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E647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E647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E647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3459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E647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E647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E6478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459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909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1E6478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5909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customStyle="1" w:styleId="21">
    <w:name w:val="Знак21"/>
    <w:basedOn w:val="Normal"/>
    <w:uiPriority w:val="99"/>
    <w:rsid w:val="00DE26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E647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E647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E647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E647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E64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E647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E647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569</Words>
  <Characters>3244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2014-12-23T03:00:00Z</cp:lastPrinted>
  <dcterms:created xsi:type="dcterms:W3CDTF">2015-01-16T12:39:00Z</dcterms:created>
  <dcterms:modified xsi:type="dcterms:W3CDTF">2015-01-19T07:26:00Z</dcterms:modified>
</cp:coreProperties>
</file>