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14" w:rsidRPr="007B3FB8" w:rsidRDefault="00936E14" w:rsidP="007B3FB8">
      <w:pPr>
        <w:jc w:val="right"/>
        <w:rPr>
          <w:b/>
          <w:bCs/>
          <w:kern w:val="28"/>
          <w:sz w:val="32"/>
          <w:szCs w:val="32"/>
        </w:rPr>
      </w:pPr>
      <w:r w:rsidRPr="007B3FB8">
        <w:rPr>
          <w:b/>
          <w:bCs/>
          <w:kern w:val="28"/>
          <w:sz w:val="32"/>
          <w:szCs w:val="32"/>
        </w:rPr>
        <w:t>Приложение</w:t>
      </w:r>
    </w:p>
    <w:p w:rsidR="00936E14" w:rsidRPr="007B3FB8" w:rsidRDefault="00936E14" w:rsidP="007B3FB8">
      <w:pPr>
        <w:jc w:val="right"/>
        <w:rPr>
          <w:b/>
          <w:bCs/>
          <w:kern w:val="28"/>
          <w:sz w:val="32"/>
          <w:szCs w:val="32"/>
        </w:rPr>
      </w:pPr>
      <w:r w:rsidRPr="007B3FB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36E14" w:rsidRPr="007B3FB8" w:rsidRDefault="00936E14" w:rsidP="007B3FB8">
      <w:pPr>
        <w:jc w:val="right"/>
        <w:rPr>
          <w:b/>
          <w:bCs/>
          <w:kern w:val="28"/>
          <w:sz w:val="32"/>
          <w:szCs w:val="32"/>
        </w:rPr>
      </w:pPr>
      <w:r w:rsidRPr="007B3FB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36E14" w:rsidRPr="007B3FB8" w:rsidRDefault="00936E14" w:rsidP="007B3FB8">
      <w:pPr>
        <w:jc w:val="right"/>
        <w:rPr>
          <w:b/>
          <w:bCs/>
          <w:kern w:val="28"/>
          <w:sz w:val="32"/>
          <w:szCs w:val="32"/>
        </w:rPr>
      </w:pPr>
      <w:r w:rsidRPr="007B3FB8">
        <w:rPr>
          <w:b/>
          <w:bCs/>
          <w:kern w:val="28"/>
          <w:sz w:val="32"/>
          <w:szCs w:val="32"/>
        </w:rPr>
        <w:t>от 08.09.2015 г. №968</w:t>
      </w:r>
    </w:p>
    <w:p w:rsidR="00936E14" w:rsidRPr="007B3FB8" w:rsidRDefault="00936E14" w:rsidP="007B3FB8"/>
    <w:p w:rsidR="00936E14" w:rsidRPr="007B3FB8" w:rsidRDefault="00936E14" w:rsidP="007B3FB8">
      <w:pPr>
        <w:jc w:val="center"/>
        <w:rPr>
          <w:b/>
          <w:bCs/>
          <w:kern w:val="32"/>
          <w:sz w:val="32"/>
          <w:szCs w:val="32"/>
        </w:rPr>
      </w:pPr>
      <w:r w:rsidRPr="007B3FB8">
        <w:rPr>
          <w:b/>
          <w:bCs/>
          <w:kern w:val="32"/>
          <w:sz w:val="32"/>
          <w:szCs w:val="32"/>
        </w:rPr>
        <w:t>План мероприятий («дорожная карта») «Повышение эффективности и качества услуг в сфере социального обслуживания населения Крапивинского муниципального района Кемеровской области на 2014-2018 годы»</w:t>
      </w:r>
    </w:p>
    <w:p w:rsidR="00936E14" w:rsidRPr="007B3FB8" w:rsidRDefault="00936E14" w:rsidP="007B3FB8"/>
    <w:p w:rsidR="00936E14" w:rsidRPr="007B3FB8" w:rsidRDefault="00936E14" w:rsidP="007B3FB8">
      <w:pPr>
        <w:jc w:val="center"/>
        <w:rPr>
          <w:b/>
          <w:bCs/>
          <w:sz w:val="30"/>
          <w:szCs w:val="30"/>
        </w:rPr>
      </w:pPr>
      <w:r w:rsidRPr="007B3FB8">
        <w:rPr>
          <w:b/>
          <w:bCs/>
          <w:sz w:val="30"/>
          <w:szCs w:val="30"/>
        </w:rPr>
        <w:t>I</w:t>
      </w:r>
      <w:r>
        <w:rPr>
          <w:b/>
          <w:bCs/>
          <w:sz w:val="30"/>
          <w:szCs w:val="30"/>
        </w:rPr>
        <w:t>. Общее описание</w:t>
      </w:r>
    </w:p>
    <w:p w:rsidR="00936E14" w:rsidRPr="007B3FB8" w:rsidRDefault="00936E14" w:rsidP="007B3FB8"/>
    <w:p w:rsidR="00936E14" w:rsidRPr="007B3FB8" w:rsidRDefault="00936E14" w:rsidP="007B3FB8">
      <w:pPr>
        <w:rPr>
          <w:b/>
          <w:bCs/>
          <w:sz w:val="28"/>
          <w:szCs w:val="28"/>
        </w:rPr>
      </w:pPr>
      <w:r w:rsidRPr="007B3FB8">
        <w:rPr>
          <w:b/>
          <w:bCs/>
          <w:sz w:val="28"/>
          <w:szCs w:val="28"/>
        </w:rPr>
        <w:t>1.1. Цели реализации плана мероприятий («дорожной карты»)</w:t>
      </w:r>
    </w:p>
    <w:p w:rsidR="00936E14" w:rsidRPr="007B3FB8" w:rsidRDefault="00936E14" w:rsidP="007B3FB8"/>
    <w:p w:rsidR="00936E14" w:rsidRPr="007B3FB8" w:rsidRDefault="00936E14" w:rsidP="007B3FB8">
      <w:r w:rsidRPr="007B3FB8">
        <w:t>Реализация плана мероприятий («дорожной карты») «Повышение эффективности и качества услуг в сфере социального обслуживания населения Крапивинского муниципального района на 2014-2018 годы» (далее – «дорожная карта») направлена на обеспечение доступности, повышение эффективности и качества предоставления населению Крапивинского муниципального района услуг в сфере социального обслуживания.</w:t>
      </w:r>
    </w:p>
    <w:p w:rsidR="00936E14" w:rsidRPr="007B3FB8" w:rsidRDefault="00936E14" w:rsidP="007B3FB8">
      <w:r w:rsidRPr="007B3FB8">
        <w:t xml:space="preserve">Для достижения указанной цели необходимо провести модернизацию существующей системы социального обслуживания населения с учетом современных требований и изменившихся правовых, социально-экономических и демографических условий, кадровых проблем отрасли. В целях подготовки к реализации Федерального закона от 28.12.2013 </w:t>
      </w:r>
      <w:r>
        <w:t xml:space="preserve">г. </w:t>
      </w:r>
      <w:r w:rsidRPr="007B3FB8">
        <w:t>№442-ФЗ «Об основах социального обслуживания граждан в Российской Федерации» в 2014 году была проведена работа по разработке более 30 законодательных и иных нормативных правовых актов, регулирующих правоотношения в сфере социального обслуживания. Принятые нормативные правовые акты предусматривают оказание социальных услуг гражданам с учетом оценки индивидуальной нуждаемости; возможность участия при оказании социальных услуг гражданам негосударственных организаций и индивидуальным предпринимателям; внедрение независимой оценки качества предоставления социальных услуг; осуществление эффективного контроля за их предоставлением. Новая нормативная правовая база должна соответствовать уровню развития общественных отношений в сфере социального обслуживания, и в связи с этим должна проводиться постоянная работа по ее актуализации. Кроме того, необходимо реализовать все планируемые мероприятия по укреплению материально-технической базы учреждений социального обслуживания населения Крапивинского муниципального района (далее – учреждения), развивать стационарозамещающие технологии социального обслуживания с преимущественной ориентацией на предоставление социальных услуг на дому, в фор</w:t>
      </w:r>
      <w:r>
        <w:t>мате социального сопровождения.</w:t>
      </w:r>
    </w:p>
    <w:p w:rsidR="00936E14" w:rsidRPr="007B3FB8" w:rsidRDefault="00936E14" w:rsidP="007B3FB8"/>
    <w:p w:rsidR="00936E14" w:rsidRPr="007B3FB8" w:rsidRDefault="00936E14" w:rsidP="007B3FB8">
      <w:pPr>
        <w:rPr>
          <w:b/>
          <w:bCs/>
          <w:sz w:val="28"/>
          <w:szCs w:val="28"/>
        </w:rPr>
      </w:pPr>
      <w:r w:rsidRPr="007B3FB8">
        <w:rPr>
          <w:b/>
          <w:bCs/>
          <w:sz w:val="28"/>
          <w:szCs w:val="28"/>
        </w:rPr>
        <w:t>2. Проблемы, сложившиеся в сфере социального обслуживания населения</w:t>
      </w:r>
    </w:p>
    <w:p w:rsidR="00936E14" w:rsidRPr="007B3FB8" w:rsidRDefault="00936E14" w:rsidP="007B3FB8"/>
    <w:p w:rsidR="00936E14" w:rsidRPr="007B3FB8" w:rsidRDefault="00936E14" w:rsidP="007B3FB8">
      <w:r w:rsidRPr="007B3FB8">
        <w:t>В системе социальной защиты населения Крапивинского муниципального района функционируют два учреждения социального обслуживания</w:t>
      </w:r>
      <w:r>
        <w:t xml:space="preserve"> </w:t>
      </w:r>
      <w:r w:rsidRPr="007B3FB8">
        <w:t>населения - муниципальное бюджетное учреждение «Комплексный центр социального обслуживания населения» Крапивинского муниципального района (далее - КЦСОН Крапивинского района) и муниципальное казенное учреждение «Социально- реабилитационный Центр для несовершеннолетних» Крапивинского муниципального района (далее - СРЦ Крапивинского района), которые оказывают социальные услуги на дому, срочную социальную помощь, реабилитацию несовершеннолетних, социально-медицинские и социокультурные досуговые мероприятия несовершеннолетним, гражданам пожилого возраста и инвалидам, предоставление транспортных услуг «Социальное такси» инвалидам и маломобильным гражданам пожилого возраста. В 2014 году социальные услуги оказаны 14 349 гражданам, что составило 60,44 процентов от общего числа жителей Крапивинского муниципального района.</w:t>
      </w:r>
      <w:r>
        <w:t xml:space="preserve"> </w:t>
      </w:r>
    </w:p>
    <w:p w:rsidR="00936E14" w:rsidRPr="007B3FB8" w:rsidRDefault="00936E14" w:rsidP="007B3FB8">
      <w:r w:rsidRPr="007B3FB8">
        <w:t>Тем не менее, существуют проблемы.</w:t>
      </w:r>
    </w:p>
    <w:p w:rsidR="00936E14" w:rsidRPr="007B3FB8" w:rsidRDefault="00936E14" w:rsidP="007B3FB8">
      <w:r w:rsidRPr="007B3FB8">
        <w:t>2.1. Не достаточно развит рынок по предоставлению социальных услуг негосударственным сектором, социально ориентированными некоммерческими организациями и благотворителями. В настоящее время в Крапивинском муниципальном районе действует некоммерческая организация «Крапивинский христианский центр». Почти на всех территориях района сформированы волонтерские бригады из числа учащихся старших классов средних школ и молодежи, а также членов районного молодежного центра «Лидер», студентов многопрофильного техникума п. Зеленогорский и жителей района. За 2014 год численность добровольцев составила 227 человек, численность пожилых граждан, получивших волонтерскую помощь - 428 человек, количество оказ</w:t>
      </w:r>
      <w:r>
        <w:t>анных волонтерами услуг – 2169.</w:t>
      </w:r>
    </w:p>
    <w:p w:rsidR="00936E14" w:rsidRPr="007B3FB8" w:rsidRDefault="00936E14" w:rsidP="007B3FB8">
      <w:r w:rsidRPr="007B3FB8">
        <w:t>2.2. В системе социального обслуживания населения наблюдается дефицит квалифицированных кадров, связанный с низким уровнем оплаты труда социальных работников, не соответствующий напряженности и интенсивности их труда. На 01.01.2015 года общая численность работников в КЦСОН Крапивинского района и СРЦ Крапивинского района составляет 202 человека.</w:t>
      </w:r>
    </w:p>
    <w:p w:rsidR="00936E14" w:rsidRPr="007B3FB8" w:rsidRDefault="00936E14" w:rsidP="007B3FB8">
      <w:r w:rsidRPr="007B3FB8">
        <w:t xml:space="preserve">На сегодняшний день обеспеченность социальными работниками и специалистами по социальной работе в КЦСОН Крапивинского района составляет </w:t>
      </w:r>
    </w:p>
    <w:p w:rsidR="00936E14" w:rsidRPr="007B3FB8" w:rsidRDefault="00936E14" w:rsidP="007B3FB8">
      <w:r w:rsidRPr="007B3FB8">
        <w:t xml:space="preserve">96,1% (на начало реализации «дорожной карты» – 97,0%); </w:t>
      </w:r>
    </w:p>
    <w:p w:rsidR="00936E14" w:rsidRPr="007B3FB8" w:rsidRDefault="00936E14" w:rsidP="007B3FB8">
      <w:r w:rsidRPr="007B3FB8">
        <w:t xml:space="preserve">85,64 % от общей численности работников учреждений составляют женщины в возрасте 36 - 55 лет; </w:t>
      </w:r>
    </w:p>
    <w:p w:rsidR="00936E14" w:rsidRPr="007B3FB8" w:rsidRDefault="00936E14" w:rsidP="007B3FB8">
      <w:r w:rsidRPr="007B3FB8">
        <w:t xml:space="preserve">16,83 % от общей численности работников учреждений составляют работники пенсионного возраста. </w:t>
      </w:r>
    </w:p>
    <w:p w:rsidR="00936E14" w:rsidRPr="007B3FB8" w:rsidRDefault="00936E14" w:rsidP="007B3FB8">
      <w:r w:rsidRPr="007B3FB8">
        <w:t xml:space="preserve">Работники с высшим образованием составляют 19,31% (на начало реализации «дорожной карты» было 24,6%) от общей численности работников учреждений, несмотря на то, что ежегодно высшие учебные заведения выпускают достаточное количество специалистов в социальной сфере. </w:t>
      </w:r>
    </w:p>
    <w:p w:rsidR="00936E14" w:rsidRPr="007B3FB8" w:rsidRDefault="00936E14" w:rsidP="007B3FB8">
      <w:r w:rsidRPr="007B3FB8">
        <w:t>Работники с полным средним образованием составляют 51,49 % от общей численности работников учреждений, среднее профессиональное образование имеют 29,70 %.</w:t>
      </w:r>
    </w:p>
    <w:p w:rsidR="00936E14" w:rsidRPr="007B3FB8" w:rsidRDefault="00936E14" w:rsidP="007B3FB8">
      <w:r w:rsidRPr="007B3FB8">
        <w:t>21,29 % работников учреждений имеет трудовой стаж до 3 лет, что свидетельствует о большой текучести кадров, и именно молодых специалистов.</w:t>
      </w:r>
    </w:p>
    <w:p w:rsidR="00936E14" w:rsidRPr="007B3FB8" w:rsidRDefault="00936E14" w:rsidP="007B3FB8">
      <w:r w:rsidRPr="007B3FB8">
        <w:t>В Управлении социальной защиты населения администрации Крапивинского муниципального района (далее – УСЗН администрации КМР) завершена работа по заключению трудовых договоров (дополнительных соглашений) с руководителями муниципальных учреждений в соответствии с типовой формой договора с учетом требований по повышению эффективности работы.</w:t>
      </w:r>
    </w:p>
    <w:p w:rsidR="00936E14" w:rsidRPr="007B3FB8" w:rsidRDefault="00936E14" w:rsidP="007B3FB8">
      <w:r w:rsidRPr="007B3FB8">
        <w:t>В целях стимулирования заинтересованности руководителей в повышении эффективности деятельности учреждений, качества оказываемых услуг утверждены новые целевые показатели и критерии оценки деятельности государственных учреждений для установления выплат стимулирующего характера руководителям, порядок и условия установления этих выплат, состав комиссии по оценке выполнения показателей. К основным критериям отнесены сложность и комплексность учреждений, внедрение новых технологий, учтены рекомендации Министерства труда и социальной защиты Российской Федерации по обеспечению показателей роста заработной платы работников учреждений.</w:t>
      </w:r>
    </w:p>
    <w:p w:rsidR="00936E14" w:rsidRPr="007B3FB8" w:rsidRDefault="00936E14" w:rsidP="007B3FB8">
      <w:r w:rsidRPr="007B3FB8">
        <w:t>В рамках реализации мероприятий «дорожной карты» проводится работа по поэтапному переводу работников муниципальных учреждений на «эффективный контракт», разработаны и утверждены минимальный перечень целевых показателей оценки эффективности деятельности основного персонала работников учреждений и критерии их оценки.</w:t>
      </w:r>
    </w:p>
    <w:p w:rsidR="00936E14" w:rsidRPr="007B3FB8" w:rsidRDefault="00936E14" w:rsidP="007B3FB8">
      <w:r w:rsidRPr="007B3FB8">
        <w:t>В Крапивинском муниципальном районе проводится работа по привлечению кадров и реализации законодательных актов, направленных на повышение уровня заработной платы работников учреждений и престижности работы в сфере социального обслуживания:</w:t>
      </w:r>
    </w:p>
    <w:p w:rsidR="00936E14" w:rsidRPr="007B3FB8" w:rsidRDefault="00936E14" w:rsidP="007B3FB8">
      <w:r w:rsidRPr="007B3FB8">
        <w:t>всем работникам государственных и муниципальных учреждений установлена гарантированная выплата стимулирующего характера в размере 30 процентов должностного оклада за работу в учреждениях;</w:t>
      </w:r>
    </w:p>
    <w:p w:rsidR="00936E14" w:rsidRPr="007B3FB8" w:rsidRDefault="00936E14" w:rsidP="007B3FB8">
      <w:r w:rsidRPr="007B3FB8">
        <w:t>работникам со специальным образованием, работающим на селе, оклады увеличиваются на повышающий коэффициент 1.25;</w:t>
      </w:r>
    </w:p>
    <w:p w:rsidR="00936E14" w:rsidRPr="007B3FB8" w:rsidRDefault="00936E14" w:rsidP="007B3FB8">
      <w:r w:rsidRPr="007B3FB8">
        <w:t>осуществляются единовременные выплаты работникам учреждений, получившим высшее или среднее специальное образование, в размере 15 и 10 тыс. руб. соответственно; ежемесячные выплаты молодым специалистам по 1 тыс. руб. в месяц в течение первых трех лет работы;</w:t>
      </w:r>
    </w:p>
    <w:p w:rsidR="00936E14" w:rsidRPr="007B3FB8" w:rsidRDefault="00936E14" w:rsidP="007B3FB8">
      <w:r w:rsidRPr="007B3FB8">
        <w:t>социальным работникам, проживающим в сельской местности и поселках городского типа, предоставляется 100-процентная льгота по оплате жилья и коммунальных услуг, частичная льгота по оплате электроэнергии;</w:t>
      </w:r>
    </w:p>
    <w:p w:rsidR="00936E14" w:rsidRPr="007B3FB8" w:rsidRDefault="00936E14" w:rsidP="007B3FB8">
      <w:r w:rsidRPr="007B3FB8">
        <w:t>социальным работникам, чья профессиональная деятельность связана с разъездами при оказании социальных услуг,</w:t>
      </w:r>
      <w:r>
        <w:t xml:space="preserve"> </w:t>
      </w:r>
      <w:r w:rsidRPr="007B3FB8">
        <w:t>предоставляется бесплатный проезд в общественном транспорте.</w:t>
      </w:r>
    </w:p>
    <w:p w:rsidR="00936E14" w:rsidRPr="007B3FB8" w:rsidRDefault="00936E14" w:rsidP="007B3FB8">
      <w:r w:rsidRPr="007B3FB8">
        <w:t>С 2011 года в муниципальных учреждениях Крапивинского муниципального района действует отраслевая система оплаты труда, основными принципами которой являются установление должностных окладов по профессионально квалификационным группам.</w:t>
      </w:r>
    </w:p>
    <w:p w:rsidR="00936E14" w:rsidRPr="007B3FB8" w:rsidRDefault="00936E14" w:rsidP="007B3FB8">
      <w:r w:rsidRPr="007B3FB8">
        <w:t xml:space="preserve">С введением новой системы стимулирования размер заработной платы напрямую зависит от результатов труда и качества предоставляемых услуг. В учреждениях разработаны критерии оценки результативности в зависимости от направления деятельности учреждения и конкретных участков работы. </w:t>
      </w:r>
    </w:p>
    <w:p w:rsidR="00936E14" w:rsidRPr="007B3FB8" w:rsidRDefault="00936E14" w:rsidP="007B3FB8">
      <w:r w:rsidRPr="007B3FB8">
        <w:t xml:space="preserve">Ежегодно индексируются фонды оплаты труда работников учреждений. </w:t>
      </w:r>
    </w:p>
    <w:p w:rsidR="00936E14" w:rsidRPr="007B3FB8" w:rsidRDefault="00936E14" w:rsidP="007B3FB8">
      <w:r w:rsidRPr="007B3FB8">
        <w:t>Для обеспечения повышения к 2018 году средней заработной платы отдельных категорий работников в сфере социального обслуживания населения Кемеровской области проведены следующие мероприятия.</w:t>
      </w:r>
    </w:p>
    <w:p w:rsidR="00936E14" w:rsidRPr="007B3FB8" w:rsidRDefault="00936E14" w:rsidP="007B3FB8">
      <w:r w:rsidRPr="007B3FB8">
        <w:t>С 01.04.2013 увеличены фонды оплаты труда социальных работников на 15%, средства направлены на стимулирующие выплаты.</w:t>
      </w:r>
    </w:p>
    <w:p w:rsidR="00936E14" w:rsidRPr="007B3FB8" w:rsidRDefault="00936E14" w:rsidP="007B3FB8">
      <w:r w:rsidRPr="007B3FB8">
        <w:t>С 01.10.2013 на 5,5% проиндексированы фонды оплаты труда всем категориям работников бюджетной сферы, проиндексированы должностные оклады.</w:t>
      </w:r>
    </w:p>
    <w:p w:rsidR="00936E14" w:rsidRPr="007B3FB8" w:rsidRDefault="00936E14" w:rsidP="007B3FB8">
      <w:r w:rsidRPr="007B3FB8">
        <w:t>С 01.12.2013 увеличены на 10% фонды оплаты труда социальным работникам, средства направлены на стимулирующие выплаты.</w:t>
      </w:r>
    </w:p>
    <w:p w:rsidR="00936E14" w:rsidRPr="007B3FB8" w:rsidRDefault="00936E14" w:rsidP="007B3FB8">
      <w:r w:rsidRPr="007B3FB8">
        <w:t>В 2014 году фонды социальных работников были проиндексированы с 1 мая на 10% и с 1 октября на 10%, средства направлены на стимулирующие выплаты.</w:t>
      </w:r>
    </w:p>
    <w:p w:rsidR="00936E14" w:rsidRPr="007B3FB8" w:rsidRDefault="00936E14" w:rsidP="007B3FB8">
      <w:r w:rsidRPr="007B3FB8">
        <w:t>В результате средняя заработная плата социальных работников за 2013 год составила 11950 рублей. Соотношение средней заработной платы социальных работников учреждений со средней заработной платой в Кемеровской области за 2013 год составляет 47%.</w:t>
      </w:r>
    </w:p>
    <w:p w:rsidR="00936E14" w:rsidRPr="007B3FB8" w:rsidRDefault="00936E14" w:rsidP="007B3FB8">
      <w:r w:rsidRPr="007B3FB8">
        <w:t xml:space="preserve">Заработная плата социальных работников в 2013 году увеличилась на 50% по сравнению с 2012 годом. </w:t>
      </w:r>
    </w:p>
    <w:p w:rsidR="00936E14" w:rsidRPr="007B3FB8" w:rsidRDefault="00936E14" w:rsidP="007B3FB8">
      <w:r w:rsidRPr="007B3FB8">
        <w:t>Кроме того, в ходе реализации программы поэтапного повышения заработной платы в области принимаются меры по повышению заработной платы работникам, которые не предусмотрены Указами Президента Российской Федерации, для сохранения сложившегося соотношения в уровнях оплаты труда по различным специальностям сферы социального обслуживания.</w:t>
      </w:r>
    </w:p>
    <w:p w:rsidR="00936E14" w:rsidRPr="007B3FB8" w:rsidRDefault="00936E14" w:rsidP="007B3FB8">
      <w:r w:rsidRPr="007B3FB8">
        <w:t xml:space="preserve">Так, наряду с отдельными категориями работников, предусмотренных Указами Президента Российской Федерации, с 1 октября 2013 года на 5,5 процента проиндексированы фонды оплаты труда всем категориям работников бюджетной сферы. Дополнительные средства направлены на повышение должностных окладов, т.е. на базовую (гарантированную) часть. </w:t>
      </w:r>
    </w:p>
    <w:p w:rsidR="00936E14" w:rsidRPr="007B3FB8" w:rsidRDefault="00936E14" w:rsidP="007B3FB8">
      <w:r w:rsidRPr="007B3FB8">
        <w:t>Средняя заработная плата работников учреждений в целом по отрасли в 2013 году возросла по сравнению с 2012 годом на 12,3% и составила 14176 руб., в 2014 году по сравнению с 2013 годом - на 15,8% и составила 16420 руб.</w:t>
      </w:r>
    </w:p>
    <w:p w:rsidR="00936E14" w:rsidRPr="007B3FB8" w:rsidRDefault="00936E14" w:rsidP="007B3FB8">
      <w:r w:rsidRPr="007B3FB8">
        <w:t>В 2013-2014 годах в целях оптимизации сети с целью привлечения дополнительных ресурсов, направленных на увеличение заработной платы, была проведена реорганизация учреждений социального обслуживания населения Крапивинского района:</w:t>
      </w:r>
    </w:p>
    <w:p w:rsidR="00936E14" w:rsidRPr="007B3FB8" w:rsidRDefault="00936E14" w:rsidP="007B3FB8">
      <w:r w:rsidRPr="007B3FB8">
        <w:t>- из структуры КЦСОН Крапивинского района выведено организационно-методическое отделение и отделение помощи женщинам, оказавшимся в трудной жизненной ситуации, с передачей функций отделению срочного социального обслуживания и консультативному отделению;</w:t>
      </w:r>
    </w:p>
    <w:p w:rsidR="00936E14" w:rsidRPr="007B3FB8" w:rsidRDefault="00936E14" w:rsidP="007B3FB8">
      <w:r w:rsidRPr="007B3FB8">
        <w:t>- приведен в соответствие штат сотрудников отделения дневного пребывания граждан пожилого возраста и инвалидов КЦСОН Крапивинского района согласно должностным инструкциям (младший медицинский персонал переведен на вакантные должности). Тем самым уменьшили потребность в дополнительных фондах оплаты труда на увеличение заработной платы младшему медицинскому персоналу. Экономическая эффективность за 9 месяцев 2013 года составила 285,6 тыс. рублей;</w:t>
      </w:r>
    </w:p>
    <w:p w:rsidR="00936E14" w:rsidRPr="007B3FB8" w:rsidRDefault="00936E14" w:rsidP="007B3FB8">
      <w:r w:rsidRPr="007B3FB8">
        <w:t>- сокращены 4 вакантные ставки социальных работников;</w:t>
      </w:r>
    </w:p>
    <w:p w:rsidR="00936E14" w:rsidRPr="007B3FB8" w:rsidRDefault="00936E14" w:rsidP="007B3FB8">
      <w:r w:rsidRPr="007B3FB8">
        <w:t>- сокращена вакантная ставка водителя (ставка вакантна на протяжении 2 лет, вакансия образовалась в результате неисправности автомобиля Мобильной социальной помощи и непригодности его для дальнейшей эксплуатации);</w:t>
      </w:r>
    </w:p>
    <w:p w:rsidR="00936E14" w:rsidRPr="007B3FB8" w:rsidRDefault="00936E14" w:rsidP="007B3FB8">
      <w:r w:rsidRPr="007B3FB8">
        <w:t>- приведен в соответствие штат сотрудников отделения социальный приют для детей и подростков СРЦ Крапивинского района - социальные работники (3 единицы и работники, относящиеся к категории младшего медицинского персонала (санитарка – 3 единицы) с 30.03.2013 года переведены на должность младшего воспитателя (6 единиц). Экономическая эффективность составила 383,3 тыс.</w:t>
      </w:r>
      <w:r>
        <w:t xml:space="preserve"> </w:t>
      </w:r>
      <w:r w:rsidRPr="007B3FB8">
        <w:t>руб.;</w:t>
      </w:r>
    </w:p>
    <w:p w:rsidR="00936E14" w:rsidRPr="007B3FB8" w:rsidRDefault="00936E14" w:rsidP="007B3FB8">
      <w:r w:rsidRPr="007B3FB8">
        <w:t>- сокращены 2 ставки электрика в связи с подключением к центральной котельной. Экономическая эффективность составила 56,1 тыс.</w:t>
      </w:r>
      <w:r>
        <w:t xml:space="preserve"> </w:t>
      </w:r>
      <w:r w:rsidRPr="007B3FB8">
        <w:t>руб., за 2015 год – 128,3 тыс.</w:t>
      </w:r>
      <w:r>
        <w:t xml:space="preserve"> </w:t>
      </w:r>
      <w:r w:rsidRPr="007B3FB8">
        <w:t>руб.</w:t>
      </w:r>
    </w:p>
    <w:p w:rsidR="00936E14" w:rsidRPr="007B3FB8" w:rsidRDefault="00936E14" w:rsidP="007B3FB8">
      <w:r w:rsidRPr="007B3FB8">
        <w:t>В отделении социальный приют для детей и подростков СРЦ Крапивинского района уменьшено количество койко-мест с 20-ти до 12-ти, в отделении дневного пребывания детей увеличено количество койко-мест с 15-ти до 20-ти.</w:t>
      </w:r>
    </w:p>
    <w:p w:rsidR="00936E14" w:rsidRPr="007B3FB8" w:rsidRDefault="00936E14" w:rsidP="007B3FB8">
      <w:r w:rsidRPr="007B3FB8">
        <w:t>Объем средств, сэкономленных за счет оптимизационных мер в 2013-2014 годах, составил 798,5 тыс.</w:t>
      </w:r>
      <w:r>
        <w:t xml:space="preserve"> </w:t>
      </w:r>
      <w:r w:rsidRPr="007B3FB8">
        <w:t>руб., которые были направлены на повышение оплаты труда отдельным категориям работников в соответствии с Указом Президента Российской Федерации от 07.05.2012г.</w:t>
      </w:r>
      <w:r>
        <w:t xml:space="preserve">   </w:t>
      </w:r>
      <w:r w:rsidRPr="007B3FB8">
        <w:t xml:space="preserve">№ 597 «О мероприятиях по реализации государственной социальной политики». </w:t>
      </w:r>
    </w:p>
    <w:p w:rsidR="00936E14" w:rsidRPr="007B3FB8" w:rsidRDefault="00936E14" w:rsidP="007B3FB8">
      <w:r w:rsidRPr="007B3FB8">
        <w:t>В целях недопущения неэффективного использования выделенных средств на увеличение фонда стимулирующих выплат, УСЗН администрации КМР проведены следующие мероприятия:</w:t>
      </w:r>
    </w:p>
    <w:p w:rsidR="00936E14" w:rsidRPr="007B3FB8" w:rsidRDefault="00936E14" w:rsidP="007B3FB8">
      <w:r w:rsidRPr="007B3FB8">
        <w:t>- в УСЗН Крапивинского района проведена работа по заключению трудовых договоров (дополнительных соглашений) с руководителями муниципальных учреждений в соответствии с типовой формой договора с учетом требований по повышению эффективности работы;</w:t>
      </w:r>
    </w:p>
    <w:p w:rsidR="00936E14" w:rsidRPr="007B3FB8" w:rsidRDefault="00936E14" w:rsidP="007B3FB8">
      <w:r w:rsidRPr="007B3FB8">
        <w:t>- с руководителями подведомственных учреждений (КЦСОН Крапивинского района, СРЦ Крапивинского района) заключены дополнительные соглашения к трудовым договорам, в которых установлена их обязанность достижения в 2013 году показателей средней заработной платы работников соответствующих категорий, приказом возложена ответственность за целевое использование средств на повышение среднего размера оплаты труда вышеуказанных категорий работников;</w:t>
      </w:r>
    </w:p>
    <w:p w:rsidR="00936E14" w:rsidRPr="007B3FB8" w:rsidRDefault="00936E14" w:rsidP="007B3FB8">
      <w:r w:rsidRPr="007B3FB8">
        <w:t>- совместно с администрацией Крапивинского муниципального района проводится постоянный мониторинг достижения целевых показателей по среднему уровню заработной платы отдельным категориям работников бюджетной сферы;</w:t>
      </w:r>
    </w:p>
    <w:p w:rsidR="00936E14" w:rsidRPr="007B3FB8" w:rsidRDefault="00936E14" w:rsidP="007B3FB8">
      <w:r w:rsidRPr="007B3FB8">
        <w:t>- создан прозрачный механизм оплаты труда руководителей учреждений, не допускается более чем в 3 раза превышение соотношения средней заработной платы руководителей и основного персонала этих учреждений и обеспечено представление руководителями учреждений сведений о доходах, об имуществе и обязательствах имущественного характера.</w:t>
      </w:r>
    </w:p>
    <w:p w:rsidR="00936E14" w:rsidRPr="007B3FB8" w:rsidRDefault="00936E14" w:rsidP="007B3FB8">
      <w:r w:rsidRPr="007B3FB8">
        <w:t>Вся проводимая работа находится под контролем специально созданной комиссии, состав и план работы которой утвержден постановлением администрации Крапивинского муниципального района.</w:t>
      </w:r>
    </w:p>
    <w:p w:rsidR="00936E14" w:rsidRPr="007B3FB8" w:rsidRDefault="00936E14" w:rsidP="007B3FB8">
      <w:r w:rsidRPr="007B3FB8">
        <w:t>В 2014 году в учреждениях соотношение заработной платы основного и вспомогательного персонала учреждений составило 1:0,73, доля оплаты труда работников административно-управленческого персонала в фонде оплаты труда учреждений по сравнению с 2013 годом не увеличилась и составляет 19 процентов.</w:t>
      </w:r>
    </w:p>
    <w:p w:rsidR="00936E14" w:rsidRPr="007B3FB8" w:rsidRDefault="00936E14" w:rsidP="007B3FB8"/>
    <w:p w:rsidR="00936E14" w:rsidRPr="007B3FB8" w:rsidRDefault="00936E14" w:rsidP="007B3FB8">
      <w:r w:rsidRPr="007B3FB8">
        <w:t>2.3. Структура работников учреждений в 2014 году:</w:t>
      </w:r>
    </w:p>
    <w:p w:rsidR="00936E14" w:rsidRPr="007B3FB8" w:rsidRDefault="00936E14" w:rsidP="007B3FB8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245"/>
        <w:gridCol w:w="1955"/>
        <w:gridCol w:w="2160"/>
      </w:tblGrid>
      <w:tr w:rsidR="00936E14" w:rsidRPr="007B3FB8">
        <w:trPr>
          <w:jc w:val="center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14" w:rsidRPr="007B3FB8" w:rsidRDefault="00936E14" w:rsidP="007B3FB8">
            <w:pPr>
              <w:pStyle w:val="Table0"/>
            </w:pPr>
            <w:r w:rsidRPr="007B3FB8">
              <w:t>Категория работников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14" w:rsidRPr="007B3FB8" w:rsidRDefault="00936E14" w:rsidP="007B3FB8">
            <w:pPr>
              <w:pStyle w:val="Table0"/>
            </w:pPr>
            <w:r w:rsidRPr="007B3FB8">
              <w:t>Численность, человек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14" w:rsidRPr="007B3FB8" w:rsidRDefault="00936E14" w:rsidP="007B3FB8">
            <w:pPr>
              <w:pStyle w:val="Table0"/>
            </w:pPr>
            <w:r w:rsidRPr="007B3FB8">
              <w:t>Доля в общей численности, %</w:t>
            </w:r>
          </w:p>
        </w:tc>
      </w:tr>
      <w:tr w:rsidR="00936E14" w:rsidRPr="007B3FB8">
        <w:trPr>
          <w:trHeight w:val="1625"/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14" w:rsidRPr="007B3FB8" w:rsidRDefault="00936E14" w:rsidP="007B3FB8">
            <w:pPr>
              <w:pStyle w:val="Table"/>
            </w:pPr>
            <w:r w:rsidRPr="007B3FB8">
              <w:t>Административно-управленческий персонал (руководители, их заместители, главные бухгалтеры, руководители структурных подразделений, специалисты)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15,35</w:t>
            </w:r>
          </w:p>
        </w:tc>
      </w:tr>
      <w:tr w:rsidR="00936E14" w:rsidRPr="007B3FB8">
        <w:trPr>
          <w:trHeight w:val="1495"/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14" w:rsidRPr="007B3FB8" w:rsidRDefault="00936E14" w:rsidP="007B3FB8">
            <w:pPr>
              <w:pStyle w:val="Table"/>
            </w:pPr>
            <w:r w:rsidRPr="007B3FB8">
              <w:t>Основной персонал (социальные работники, специалисты по социальной работе, педагогический персонал, врачи, младший и средний медицинский персонал)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58,41</w:t>
            </w:r>
          </w:p>
        </w:tc>
      </w:tr>
      <w:tr w:rsidR="00936E14" w:rsidRPr="007B3FB8">
        <w:trPr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14" w:rsidRPr="007B3FB8" w:rsidRDefault="00936E14" w:rsidP="007B3FB8">
            <w:pPr>
              <w:pStyle w:val="Table"/>
            </w:pPr>
            <w:r w:rsidRPr="007B3FB8">
              <w:t>Вспомогательный персонал (специалисты, служащие, профессии рабочих)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26,24</w:t>
            </w:r>
          </w:p>
        </w:tc>
      </w:tr>
      <w:tr w:rsidR="00936E14" w:rsidRPr="007B3FB8">
        <w:trPr>
          <w:jc w:val="center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14" w:rsidRPr="007B3FB8" w:rsidRDefault="00936E14" w:rsidP="007B3FB8">
            <w:pPr>
              <w:pStyle w:val="Table"/>
            </w:pPr>
            <w:r w:rsidRPr="007B3FB8">
              <w:t>Итого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</w:tr>
    </w:tbl>
    <w:p w:rsidR="00936E14" w:rsidRPr="007B3FB8" w:rsidRDefault="00936E14" w:rsidP="007B3FB8">
      <w:pPr>
        <w:jc w:val="center"/>
        <w:rPr>
          <w:b/>
          <w:bCs/>
          <w:sz w:val="30"/>
          <w:szCs w:val="30"/>
        </w:rPr>
      </w:pPr>
    </w:p>
    <w:p w:rsidR="00936E14" w:rsidRPr="007B3FB8" w:rsidRDefault="00936E14" w:rsidP="007B3FB8">
      <w:pPr>
        <w:rPr>
          <w:b/>
          <w:bCs/>
          <w:sz w:val="28"/>
          <w:szCs w:val="28"/>
        </w:rPr>
      </w:pPr>
      <w:r w:rsidRPr="007B3FB8">
        <w:rPr>
          <w:b/>
          <w:bCs/>
          <w:sz w:val="28"/>
          <w:szCs w:val="28"/>
        </w:rPr>
        <w:t>3. Цели реализации «дорожной карты»</w:t>
      </w:r>
    </w:p>
    <w:p w:rsidR="00936E14" w:rsidRPr="007B3FB8" w:rsidRDefault="00936E14" w:rsidP="007B3FB8"/>
    <w:p w:rsidR="00936E14" w:rsidRPr="007B3FB8" w:rsidRDefault="00936E14" w:rsidP="007B3FB8">
      <w:r w:rsidRPr="007B3FB8">
        <w:t>3.1. Совершенствование правового регулирования социального обслуживания, создание нормативной правовой базы в соответствии Феде</w:t>
      </w:r>
      <w:r>
        <w:t>ральным законом от 28.12.2013 №</w:t>
      </w:r>
      <w:r w:rsidRPr="007B3FB8">
        <w:t>442-ФЗ «Об основах социального обслуживания граждан в Российской Федерации».</w:t>
      </w:r>
    </w:p>
    <w:p w:rsidR="00936E14" w:rsidRPr="007B3FB8" w:rsidRDefault="00936E14" w:rsidP="007B3FB8">
      <w:r w:rsidRPr="007B3FB8">
        <w:t>3.2. Оптимизация структуры и штатной численности учреждений путем ликвидации неэффективных подразделений, проведения эффективной кадровой политики, повышения заинтересованности работников в труде и поднятия престижа профессии социального работника.</w:t>
      </w:r>
    </w:p>
    <w:p w:rsidR="00936E14" w:rsidRPr="007B3FB8" w:rsidRDefault="00936E14" w:rsidP="007B3FB8">
      <w:r w:rsidRPr="007B3FB8">
        <w:t>3.3. Повышение в 2017 году средней заработной платы социальных работников до 100 процентов от средней заработной платы в регионе.</w:t>
      </w:r>
    </w:p>
    <w:p w:rsidR="00936E14" w:rsidRPr="007B3FB8" w:rsidRDefault="00936E14" w:rsidP="007B3FB8">
      <w:r w:rsidRPr="007B3FB8">
        <w:t>3.4. Укрепление материально-технической базы учреждений.</w:t>
      </w:r>
    </w:p>
    <w:p w:rsidR="00936E14" w:rsidRPr="007B3FB8" w:rsidRDefault="00936E14" w:rsidP="007B3FB8">
      <w:r w:rsidRPr="007B3FB8">
        <w:t xml:space="preserve">3.5. 100 процентное удовлетворение граждан социальным обслуживанием. </w:t>
      </w:r>
    </w:p>
    <w:p w:rsidR="00936E14" w:rsidRPr="007B3FB8" w:rsidRDefault="00936E14" w:rsidP="007B3FB8">
      <w:r w:rsidRPr="007B3FB8">
        <w:t>3.6. Развитие рынка социальных услуг путем привлечения организаций различных организационно-правовых форм и форм собственности, предоставляющих социальные услуги.</w:t>
      </w:r>
    </w:p>
    <w:p w:rsidR="00936E14" w:rsidRPr="007B3FB8" w:rsidRDefault="00936E14" w:rsidP="007B3FB8">
      <w:r w:rsidRPr="007B3FB8">
        <w:t>3.7. Предоставление гражданину, нуждающемуся в получении социальных услуг, права выбора организации социального обслуживания или индивидуального предпринимателя для получения социальных услуг.</w:t>
      </w:r>
    </w:p>
    <w:p w:rsidR="00936E14" w:rsidRPr="007B3FB8" w:rsidRDefault="00936E14" w:rsidP="007B3FB8"/>
    <w:p w:rsidR="00936E14" w:rsidRPr="007B3FB8" w:rsidRDefault="00936E14" w:rsidP="007B3FB8">
      <w:pPr>
        <w:rPr>
          <w:b/>
          <w:bCs/>
          <w:sz w:val="28"/>
          <w:szCs w:val="28"/>
        </w:rPr>
      </w:pPr>
      <w:r w:rsidRPr="007B3FB8">
        <w:rPr>
          <w:b/>
          <w:bCs/>
          <w:sz w:val="28"/>
          <w:szCs w:val="28"/>
        </w:rPr>
        <w:t>4. Ожидаемые результаты реализации «дорожной карты»</w:t>
      </w:r>
    </w:p>
    <w:p w:rsidR="00936E14" w:rsidRPr="007B3FB8" w:rsidRDefault="00936E14" w:rsidP="007B3FB8"/>
    <w:p w:rsidR="00936E14" w:rsidRPr="007B3FB8" w:rsidRDefault="00936E14" w:rsidP="007B3FB8">
      <w:r w:rsidRPr="007B3FB8">
        <w:t>4.1. Разработка мероприятий по повышению качества социального обслуживания населения на основе проведенного анализа положения дел</w:t>
      </w:r>
      <w:r>
        <w:t xml:space="preserve"> </w:t>
      </w:r>
      <w:r w:rsidRPr="007B3FB8">
        <w:t>и выявленных проблем в сфере социального обслуживания населения.</w:t>
      </w:r>
    </w:p>
    <w:p w:rsidR="00936E14" w:rsidRPr="007B3FB8" w:rsidRDefault="00936E14" w:rsidP="007B3FB8">
      <w:r w:rsidRPr="007B3FB8">
        <w:t>4.2. Подготовка нормативной правовой основы регулирования правоотношений в сфере социального обслуживания населения и внедрение инновационных технологий социального обслуживания.</w:t>
      </w:r>
    </w:p>
    <w:p w:rsidR="00936E14" w:rsidRPr="007B3FB8" w:rsidRDefault="00936E14" w:rsidP="007B3FB8">
      <w:r w:rsidRPr="007B3FB8">
        <w:t xml:space="preserve">4.3. Развитие кадрового потенциала системы социального обслуживания населения района, ежегодное обучение 1 000 работников учреждений на курсах повышения квалификации. </w:t>
      </w:r>
    </w:p>
    <w:p w:rsidR="00936E14" w:rsidRPr="007B3FB8" w:rsidRDefault="00936E14" w:rsidP="007B3FB8">
      <w:r w:rsidRPr="007B3FB8">
        <w:t>4.4. Оптимизация сети и штатной численности учреждений на основе исключения неэффективных расходов, мало востребованных гражданами социальных услуг, непрофильных подразделений, перевод ряда обеспечивающих функций и услуг на условия привлечения сторонних организаций, увеличение объема средств от оказания платных социальных услуг в целях получения дополнительного резерва средств на повышение оплаты труда не менее 30 процентов.</w:t>
      </w:r>
    </w:p>
    <w:p w:rsidR="00936E14" w:rsidRPr="007B3FB8" w:rsidRDefault="00936E14" w:rsidP="007B3FB8">
      <w:r w:rsidRPr="007B3FB8">
        <w:t>Сокращение до 5 процентов численности работников, занятых в системе социального обслуживания населения (преимущественно</w:t>
      </w:r>
      <w:r>
        <w:t xml:space="preserve"> </w:t>
      </w:r>
      <w:r w:rsidRPr="007B3FB8">
        <w:t>работников административно-хозяйственного управления), в целях высвобождения средств на повышение оплаты труда социальных работников.</w:t>
      </w:r>
    </w:p>
    <w:p w:rsidR="00936E14" w:rsidRPr="007B3FB8" w:rsidRDefault="00936E14" w:rsidP="007B3FB8">
      <w:r w:rsidRPr="007B3FB8">
        <w:t xml:space="preserve">Обеспечение объема привлеченных средств на повышение оплаты труда в объеме до 30 процентов от общего объема средств, направленных на повышение оплаты труда работников. </w:t>
      </w:r>
    </w:p>
    <w:p w:rsidR="00936E14" w:rsidRPr="007B3FB8" w:rsidRDefault="00936E14" w:rsidP="007B3FB8">
      <w:r w:rsidRPr="007B3FB8">
        <w:t>4.5. Доведение уровня оплаты труда социальных работников в соответствии с Указом Президента Российской Федерации от 07.05.2012</w:t>
      </w:r>
      <w:r>
        <w:t xml:space="preserve"> №</w:t>
      </w:r>
      <w:r w:rsidRPr="007B3FB8">
        <w:t>597 «О мероприятиях по реализации государственной социальной политики» в 2017 году до 100 процентов от средней заработной платы в экономике Кемеровской области.</w:t>
      </w:r>
    </w:p>
    <w:p w:rsidR="00936E14" w:rsidRPr="007B3FB8" w:rsidRDefault="00936E14" w:rsidP="007B3FB8">
      <w:r w:rsidRPr="007B3FB8">
        <w:t>4.6. Исходя из достигнутого к 2012 году соотношения размера заработной платы социальных работников и средней заработной платы по Кемеровской области, 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</w:t>
      </w:r>
      <w:r>
        <w:t xml:space="preserve"> </w:t>
      </w:r>
      <w:r w:rsidRPr="007B3FB8">
        <w:t>от 26.11.2012</w:t>
      </w:r>
      <w:r>
        <w:t xml:space="preserve"> №</w:t>
      </w:r>
      <w:r w:rsidRPr="007B3FB8">
        <w:t xml:space="preserve">2190-р, определена следующая динамика роста оплаты труда социальных работников: </w:t>
      </w:r>
    </w:p>
    <w:p w:rsidR="00936E14" w:rsidRPr="007B3FB8" w:rsidRDefault="00936E14" w:rsidP="007B3FB8">
      <w:r w:rsidRPr="007B3FB8">
        <w:t>2013 год – 11950 руб. (47,0 % к заработной плате по экономике региона) - темп роста к предыдущему году – 50,0 %;</w:t>
      </w:r>
    </w:p>
    <w:p w:rsidR="00936E14" w:rsidRPr="007B3FB8" w:rsidRDefault="00936E14" w:rsidP="007B3FB8">
      <w:r w:rsidRPr="007B3FB8">
        <w:t>2014 год – 16247,1 руб. (60,8 % к заработной плате по экономике региона) - темп роста к предыдущему году – 31,1 %;</w:t>
      </w:r>
    </w:p>
    <w:p w:rsidR="00936E14" w:rsidRPr="007B3FB8" w:rsidRDefault="00936E14" w:rsidP="007B3FB8">
      <w:r w:rsidRPr="007B3FB8">
        <w:t>2015 год – 16926,3 руб. (61,0 % к заработной плате по экономике региона) - темп роста к предыдущему году – 4,2 %;</w:t>
      </w:r>
    </w:p>
    <w:p w:rsidR="00936E14" w:rsidRPr="007B3FB8" w:rsidRDefault="00936E14" w:rsidP="007B3FB8">
      <w:r w:rsidRPr="007B3FB8">
        <w:t>2016 год - 28147 руб. (79,0 % к заработной плате по экономике региона) - темп роста к предыдущему году – 66,3 %;</w:t>
      </w:r>
    </w:p>
    <w:p w:rsidR="00936E14" w:rsidRPr="007B3FB8" w:rsidRDefault="00936E14" w:rsidP="007B3FB8">
      <w:r w:rsidRPr="007B3FB8">
        <w:t>2017 год - 39429 руб. (100 % к заработной плате по экономике региона) - темп роста к предыдущему году – 40,1 %;</w:t>
      </w:r>
    </w:p>
    <w:p w:rsidR="00936E14" w:rsidRPr="007B3FB8" w:rsidRDefault="00936E14" w:rsidP="007B3FB8">
      <w:r w:rsidRPr="007B3FB8">
        <w:t>2018 год - 43476 руб. (100 % к заработной плате по экономике региона) - темп роста к предыдущему году – 10,3 %.</w:t>
      </w:r>
    </w:p>
    <w:p w:rsidR="00936E14" w:rsidRPr="007B3FB8" w:rsidRDefault="00936E14" w:rsidP="007B3FB8">
      <w:r w:rsidRPr="007B3FB8">
        <w:t>4.7. Повышение уровня и качества предоставления социальных услуг.</w:t>
      </w:r>
    </w:p>
    <w:p w:rsidR="00936E14" w:rsidRPr="007B3FB8" w:rsidRDefault="00936E14" w:rsidP="007B3FB8">
      <w:r w:rsidRPr="007B3FB8">
        <w:t xml:space="preserve">4.7.1. Укрепление материально-технической базы учреждений в рамках выделенных субсидий на выполнение муниципальных заданий и иных целей. </w:t>
      </w:r>
    </w:p>
    <w:p w:rsidR="00936E14" w:rsidRPr="007B3FB8" w:rsidRDefault="00936E14" w:rsidP="007B3FB8">
      <w:r w:rsidRPr="007B3FB8">
        <w:t>4.7.2. Привлечение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обслуживания.</w:t>
      </w:r>
    </w:p>
    <w:p w:rsidR="00936E14" w:rsidRPr="007B3FB8" w:rsidRDefault="00936E14" w:rsidP="007B3FB8">
      <w:r w:rsidRPr="007B3FB8">
        <w:t>4.7.3. Развитие стационарозамещающих технологий социального обслуживания с преимущественной ориентацией на предоставление социальных услуг на дому. Данные технологии являются альтернативой стационарному обслуживанию и позволят в некоторой степени решить проблему нехватки мест в домах - интернатах. Именно институты социальных сиделок и приемной семьи дадут возможность пожилым людям и инвалидам вести привычный образ жизни и быть при этом социально защищёнными.</w:t>
      </w:r>
    </w:p>
    <w:p w:rsidR="00936E14" w:rsidRPr="007B3FB8" w:rsidRDefault="00936E14" w:rsidP="007B3FB8">
      <w:r w:rsidRPr="007B3FB8">
        <w:t>Кроме того, в 2015 году получат развитие другие инновационные технологии, такие как: «тревожная кнопка», «тревожный рюкзак», «университет третьего возраста», «компьютерный класс для пожилых», «социальный туризм для пожилых», служба «социальное такси» для маломобильных групп населения, «мобильная социальная помощь», «школа безопасности для пожилых людей и лиц с ограниченными возможностями» и другое. Такие технологии направлены на повышение эффективности системы социальной защиты в отношении граждан пожилого возраста.</w:t>
      </w:r>
    </w:p>
    <w:p w:rsidR="00936E14" w:rsidRPr="007B3FB8" w:rsidRDefault="00936E14" w:rsidP="007B3FB8"/>
    <w:p w:rsidR="00936E14" w:rsidRPr="007B3FB8" w:rsidRDefault="00936E14" w:rsidP="007B3FB8">
      <w:pPr>
        <w:rPr>
          <w:b/>
          <w:bCs/>
          <w:sz w:val="28"/>
          <w:szCs w:val="28"/>
        </w:rPr>
      </w:pPr>
      <w:r w:rsidRPr="007B3FB8">
        <w:rPr>
          <w:b/>
          <w:bCs/>
          <w:sz w:val="28"/>
          <w:szCs w:val="28"/>
        </w:rPr>
        <w:t>5. Контрольные показатели успешной реализации «дорожной карты»</w:t>
      </w:r>
    </w:p>
    <w:p w:rsidR="00936E14" w:rsidRPr="007B3FB8" w:rsidRDefault="00936E14" w:rsidP="007B3FB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965"/>
        <w:gridCol w:w="682"/>
        <w:gridCol w:w="682"/>
        <w:gridCol w:w="682"/>
        <w:gridCol w:w="637"/>
        <w:gridCol w:w="648"/>
        <w:gridCol w:w="637"/>
      </w:tblGrid>
      <w:tr w:rsidR="00936E14" w:rsidRPr="007B3FB8">
        <w:trPr>
          <w:cantSplit/>
          <w:trHeight w:val="745"/>
        </w:trPr>
        <w:tc>
          <w:tcPr>
            <w:tcW w:w="4354" w:type="dxa"/>
          </w:tcPr>
          <w:p w:rsidR="00936E14" w:rsidRPr="007B3FB8" w:rsidRDefault="00936E14" w:rsidP="007B3FB8">
            <w:pPr>
              <w:pStyle w:val="Table0"/>
            </w:pPr>
          </w:p>
          <w:p w:rsidR="00936E14" w:rsidRPr="007B3FB8" w:rsidRDefault="00936E14" w:rsidP="007B3FB8">
            <w:pPr>
              <w:pStyle w:val="Table0"/>
            </w:pPr>
            <w:r w:rsidRPr="007B3FB8">
              <w:t>Наименование контрольного показателя</w:t>
            </w:r>
          </w:p>
          <w:p w:rsidR="00936E14" w:rsidRPr="007B3FB8" w:rsidRDefault="00936E14" w:rsidP="007B3FB8">
            <w:pPr>
              <w:pStyle w:val="Table0"/>
            </w:pP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0"/>
            </w:pPr>
            <w:r w:rsidRPr="007B3FB8">
              <w:t>Ед. измерения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0"/>
            </w:pPr>
            <w:r w:rsidRPr="007B3FB8">
              <w:t>2013 год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0"/>
            </w:pPr>
            <w:r w:rsidRPr="007B3FB8">
              <w:t>2014 год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0"/>
            </w:pPr>
            <w:r w:rsidRPr="007B3FB8">
              <w:t>2015 год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0"/>
            </w:pPr>
            <w:r w:rsidRPr="007B3FB8">
              <w:t>2016 год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  <w:rPr>
                <w:b/>
                <w:bCs/>
              </w:rPr>
            </w:pPr>
            <w:r w:rsidRPr="007B3FB8">
              <w:rPr>
                <w:b/>
                <w:bCs/>
              </w:rPr>
              <w:t>2017 год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  <w:rPr>
                <w:b/>
                <w:bCs/>
              </w:rPr>
            </w:pPr>
            <w:r w:rsidRPr="007B3FB8">
              <w:rPr>
                <w:b/>
                <w:bCs/>
              </w:rPr>
              <w:t>2018 год</w:t>
            </w:r>
          </w:p>
        </w:tc>
      </w:tr>
      <w:tr w:rsidR="00936E14" w:rsidRPr="007B3FB8">
        <w:trPr>
          <w:cantSplit/>
          <w:trHeight w:val="319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 1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2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3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4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6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7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8</w:t>
            </w:r>
          </w:p>
        </w:tc>
      </w:tr>
      <w:tr w:rsidR="00936E14" w:rsidRPr="007B3FB8">
        <w:trPr>
          <w:cantSplit/>
          <w:trHeight w:val="468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</w:tr>
      <w:tr w:rsidR="00936E14" w:rsidRPr="007B3FB8">
        <w:trPr>
          <w:cantSplit/>
          <w:trHeight w:val="267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в том числе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cantSplit/>
          <w:trHeight w:val="267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в стационарных учреждениях социального обслуживания для граждан пожилого возраста и инвалидов общего типа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</w:tr>
      <w:tr w:rsidR="00936E14" w:rsidRPr="007B3FB8">
        <w:trPr>
          <w:cantSplit/>
          <w:trHeight w:val="267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в стационарных учреждениях социального обслуживания для граждан пожилого возраста и инвалидов психоневрологического профиля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</w:tr>
      <w:tr w:rsidR="00936E14" w:rsidRPr="007B3FB8">
        <w:trPr>
          <w:cantSplit/>
          <w:trHeight w:val="267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в стационарных учреждениях социального обслуживания для детей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</w:tr>
      <w:tr w:rsidR="00936E14" w:rsidRPr="007B3FB8">
        <w:trPr>
          <w:cantSplit/>
          <w:trHeight w:val="468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в полустационарных учреждениях социального обслуживания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</w:tr>
      <w:tr w:rsidR="00936E14" w:rsidRPr="007B3FB8">
        <w:trPr>
          <w:cantSplit/>
          <w:trHeight w:val="468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в учреждениях социального обслуживания, оказывающих услуги на дому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100</w:t>
            </w:r>
          </w:p>
        </w:tc>
      </w:tr>
      <w:tr w:rsidR="00936E14" w:rsidRPr="007B3FB8">
        <w:trPr>
          <w:cantSplit/>
          <w:trHeight w:val="468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Доля негосударственных организаций социального обслуживания в общем количестве организаций, предоставляющих социальные услуги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2,5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2,3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5,0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5,0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8,0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10,0</w:t>
            </w:r>
          </w:p>
        </w:tc>
      </w:tr>
      <w:tr w:rsidR="00936E14" w:rsidRPr="007B3FB8">
        <w:trPr>
          <w:cantSplit/>
          <w:trHeight w:val="468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Удельный вес граждан пожилого возраста и инвалидов (взрослых и детей), получивших услуги в негосударственных и в немуниципальных учреждениях социального обслуживания, в общей численности граждан пожилого возраста и инвалидов (взрослых и детей), получивших</w:t>
            </w:r>
            <w:r>
              <w:t xml:space="preserve"> </w:t>
            </w:r>
            <w:r w:rsidRPr="007B3FB8">
              <w:t>услуги в учреждениях социального обслуживания всех форм собственности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0,1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0,2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0,3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0,4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0,5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0,6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cantSplit/>
          <w:trHeight w:val="468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  <w:r>
              <w:t xml:space="preserve"> 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0</w:t>
            </w:r>
          </w:p>
        </w:tc>
      </w:tr>
      <w:tr w:rsidR="00936E14" w:rsidRPr="007B3FB8">
        <w:trPr>
          <w:cantSplit/>
          <w:trHeight w:val="468"/>
        </w:trPr>
        <w:tc>
          <w:tcPr>
            <w:tcW w:w="4354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Доля получателей социальных услуг от общего числа жителей </w:t>
            </w:r>
          </w:p>
        </w:tc>
        <w:tc>
          <w:tcPr>
            <w:tcW w:w="965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проценты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5,66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5,66</w:t>
            </w:r>
          </w:p>
        </w:tc>
        <w:tc>
          <w:tcPr>
            <w:tcW w:w="682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5,66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5,66</w:t>
            </w:r>
          </w:p>
        </w:tc>
        <w:tc>
          <w:tcPr>
            <w:tcW w:w="648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5,66</w:t>
            </w:r>
          </w:p>
        </w:tc>
        <w:tc>
          <w:tcPr>
            <w:tcW w:w="637" w:type="dxa"/>
            <w:noWrap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5,66</w:t>
            </w:r>
          </w:p>
        </w:tc>
      </w:tr>
    </w:tbl>
    <w:p w:rsidR="00936E14" w:rsidRPr="007B3FB8" w:rsidRDefault="00936E14" w:rsidP="007B3FB8"/>
    <w:p w:rsidR="00936E14" w:rsidRPr="007B3FB8" w:rsidRDefault="00936E14" w:rsidP="007B3FB8">
      <w:r w:rsidRPr="007B3FB8">
        <w:t>Показатели нормативов «дорожной карты» приведены в приложении к настоящей «дорожной карте».</w:t>
      </w:r>
    </w:p>
    <w:p w:rsidR="00936E14" w:rsidRPr="007B3FB8" w:rsidRDefault="00936E14" w:rsidP="007B3FB8"/>
    <w:p w:rsidR="00936E14" w:rsidRPr="007B3FB8" w:rsidRDefault="00936E14" w:rsidP="007B3FB8">
      <w:pPr>
        <w:jc w:val="center"/>
        <w:rPr>
          <w:b/>
          <w:bCs/>
          <w:sz w:val="30"/>
          <w:szCs w:val="30"/>
        </w:rPr>
      </w:pPr>
      <w:r w:rsidRPr="007B3FB8">
        <w:rPr>
          <w:b/>
          <w:bCs/>
          <w:sz w:val="30"/>
          <w:szCs w:val="30"/>
        </w:rPr>
        <w:t>II. План мероприятий</w:t>
      </w:r>
    </w:p>
    <w:p w:rsidR="00936E14" w:rsidRPr="007B3FB8" w:rsidRDefault="00936E14" w:rsidP="007B3FB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2"/>
        <w:gridCol w:w="3257"/>
        <w:gridCol w:w="39"/>
        <w:gridCol w:w="2015"/>
        <w:gridCol w:w="40"/>
        <w:gridCol w:w="1544"/>
        <w:gridCol w:w="9"/>
        <w:gridCol w:w="1647"/>
        <w:gridCol w:w="40"/>
      </w:tblGrid>
      <w:tr w:rsidR="00936E14" w:rsidRPr="007B3FB8">
        <w:tc>
          <w:tcPr>
            <w:tcW w:w="975" w:type="dxa"/>
          </w:tcPr>
          <w:p w:rsidR="00936E14" w:rsidRPr="007B3FB8" w:rsidRDefault="00936E14" w:rsidP="007B3FB8">
            <w:pPr>
              <w:pStyle w:val="Table0"/>
            </w:pPr>
            <w:r w:rsidRPr="007B3FB8">
              <w:t xml:space="preserve">№ </w:t>
            </w:r>
          </w:p>
          <w:p w:rsidR="00936E14" w:rsidRPr="007B3FB8" w:rsidRDefault="00936E14" w:rsidP="007B3FB8">
            <w:pPr>
              <w:pStyle w:val="Table0"/>
            </w:pPr>
            <w:r w:rsidRPr="007B3FB8">
              <w:t>п/п</w:t>
            </w:r>
          </w:p>
        </w:tc>
        <w:tc>
          <w:tcPr>
            <w:tcW w:w="5370" w:type="dxa"/>
            <w:gridSpan w:val="2"/>
          </w:tcPr>
          <w:p w:rsidR="00936E14" w:rsidRPr="007B3FB8" w:rsidRDefault="00936E14" w:rsidP="007B3FB8">
            <w:pPr>
              <w:pStyle w:val="Table0"/>
            </w:pPr>
            <w:r w:rsidRPr="007B3FB8">
              <w:t>Мероприятия</w:t>
            </w:r>
          </w:p>
        </w:tc>
        <w:tc>
          <w:tcPr>
            <w:tcW w:w="3367" w:type="dxa"/>
            <w:gridSpan w:val="3"/>
          </w:tcPr>
          <w:p w:rsidR="00936E14" w:rsidRPr="007B3FB8" w:rsidRDefault="00936E14" w:rsidP="007B3FB8">
            <w:pPr>
              <w:pStyle w:val="Table0"/>
            </w:pPr>
            <w:r w:rsidRPr="007B3FB8">
              <w:t>Ожидаемые результаты</w:t>
            </w:r>
          </w:p>
        </w:tc>
        <w:tc>
          <w:tcPr>
            <w:tcW w:w="2445" w:type="dxa"/>
          </w:tcPr>
          <w:p w:rsidR="00936E14" w:rsidRPr="007B3FB8" w:rsidRDefault="00936E14" w:rsidP="007B3FB8">
            <w:pPr>
              <w:pStyle w:val="Table0"/>
            </w:pPr>
            <w:r w:rsidRPr="007B3FB8">
              <w:t>Срок реализации</w:t>
            </w:r>
          </w:p>
        </w:tc>
        <w:tc>
          <w:tcPr>
            <w:tcW w:w="2693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Ответственный исполнитель</w:t>
            </w:r>
          </w:p>
        </w:tc>
      </w:tr>
      <w:tr w:rsidR="00936E14" w:rsidRPr="007B3FB8">
        <w:trPr>
          <w:gridAfter w:val="1"/>
          <w:wAfter w:w="64" w:type="dxa"/>
          <w:tblHeader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1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2</w:t>
            </w:r>
          </w:p>
        </w:tc>
        <w:tc>
          <w:tcPr>
            <w:tcW w:w="3304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3</w:t>
            </w:r>
          </w:p>
        </w:tc>
        <w:tc>
          <w:tcPr>
            <w:tcW w:w="2456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4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5</w:t>
            </w:r>
          </w:p>
        </w:tc>
      </w:tr>
      <w:tr w:rsidR="00936E14" w:rsidRPr="007B3FB8">
        <w:trPr>
          <w:gridAfter w:val="1"/>
          <w:wAfter w:w="64" w:type="dxa"/>
          <w:trHeight w:val="270"/>
        </w:trPr>
        <w:tc>
          <w:tcPr>
            <w:tcW w:w="14786" w:type="dxa"/>
            <w:gridSpan w:val="9"/>
          </w:tcPr>
          <w:p w:rsidR="00936E14" w:rsidRPr="007B3FB8" w:rsidRDefault="00936E14" w:rsidP="007B3FB8">
            <w:pPr>
              <w:pStyle w:val="Table"/>
            </w:pPr>
            <w:r w:rsidRPr="007B3FB8">
              <w:t>1.Анализ ситуаций в сфере социального обслуживания</w:t>
            </w:r>
          </w:p>
        </w:tc>
      </w:tr>
      <w:tr w:rsidR="00936E14" w:rsidRPr="007B3FB8">
        <w:trPr>
          <w:gridAfter w:val="1"/>
          <w:wAfter w:w="64" w:type="dxa"/>
          <w:trHeight w:val="377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1.1.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Мониторинг и проведение мероприятий по оптимизации структуры сети и штатной численности учреждений: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выявление неэффективных, мало востребованных</w:t>
            </w:r>
            <w:r>
              <w:t xml:space="preserve"> </w:t>
            </w:r>
            <w:r w:rsidRPr="007B3FB8">
              <w:t xml:space="preserve">гражданами социальных услуг, непрофильных подразделений учреждений;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оценка возможности перевода ряда обеспечивающих функций и услуг (в том числе медицинских) на условия аутсорсинга, на условия хозрасчета</w:t>
            </w:r>
            <w:r>
              <w:t xml:space="preserve"> </w:t>
            </w:r>
            <w:r w:rsidRPr="007B3FB8">
              <w:t>(бытовые</w:t>
            </w:r>
            <w:r>
              <w:t xml:space="preserve"> </w:t>
            </w:r>
            <w:r w:rsidRPr="007B3FB8">
              <w:t>услуги) и привлечения сторонних организаций</w:t>
            </w:r>
          </w:p>
        </w:tc>
        <w:tc>
          <w:tcPr>
            <w:tcW w:w="3304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Аналитическая записка по результатам мониторинга в адрес ДСЗН и предложений по дальнейшей оптимизации </w:t>
            </w:r>
          </w:p>
        </w:tc>
        <w:tc>
          <w:tcPr>
            <w:tcW w:w="2456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СРЦ Крапивинского района,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КЦСОН Крапивинского района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1.2.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Мониторинг обеспечения комплексной безопасности и санитарно-эпидемиологического состояния в учреждениях: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ведение паспортов комплексной безопасности;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принятие мер по устранению вскрытых недостатков;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анализ расходов на повышение безопасности и улучшение санитарно-эпидемиологического состояния в учреждениях и др.</w:t>
            </w:r>
          </w:p>
        </w:tc>
        <w:tc>
          <w:tcPr>
            <w:tcW w:w="3304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Обеспечение сохранности и безопасности учреждений; экономия финансовых средств (непредвиденных расходов) на ликвидацию чрезвычайных ситуаций и восстановление утраченного имущества</w:t>
            </w:r>
          </w:p>
        </w:tc>
        <w:tc>
          <w:tcPr>
            <w:tcW w:w="2456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Ежегодно, ежеквартально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  <w:trHeight w:val="89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1.3.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Анализ и корректировка плана мероприятий по кадровому обеспечению учреждений, в том числе: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динамика заполнения вакантных должностей;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обучение и повышение квалификации работников учреждений, в том числе работников, занимающихся вопросами трудовых отношений и оплаты труда;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развитие наставничества в социальной сфере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3304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 профессиональной компетенции работников; повышение качества предоставляемых услуг; ежегодное обучение</w:t>
            </w:r>
            <w:r>
              <w:t xml:space="preserve">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работников учреждений на курсах повышения квалификации; представление информации о результатах выполнения мероприятия в Департамент социальной защиты населения Кемеровской области</w:t>
            </w:r>
          </w:p>
        </w:tc>
        <w:tc>
          <w:tcPr>
            <w:tcW w:w="2456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Ежеквартально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1.4.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Анализ качества и доступности предоставления социальных услуг населению (проведение опроса среди получателей услуг) 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3304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Обеспечение удовлетворенности граждан качеством и доступностью получения социальных услуг к 2018 году на уровне 98 процентов</w:t>
            </w:r>
          </w:p>
        </w:tc>
        <w:tc>
          <w:tcPr>
            <w:tcW w:w="2456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и учреждения социальной защиты населения,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КЦСОН Крапивинского района,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СРЦ Крапивинского района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1.5.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3304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Предоставление отчета в Департамент социальной защиты населения Кемеровской области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456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Ежеквартально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КЦСОН Крапивинского района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4786" w:type="dxa"/>
            <w:gridSpan w:val="9"/>
          </w:tcPr>
          <w:p w:rsidR="00936E14" w:rsidRPr="007B3FB8" w:rsidRDefault="00936E14" w:rsidP="007B3FB8">
            <w:pPr>
              <w:pStyle w:val="Table"/>
            </w:pPr>
            <w:r w:rsidRPr="007B3FB8">
              <w:t>2. Совершенствование законодательства, регулирующего правоотношения в сфере социального обслуживания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2.1.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Применение законодательных и иных нормативных правовых актов Кемеровской области, принятых в соответствии с Федера</w:t>
            </w:r>
            <w:r>
              <w:t>льным законом от 28.12.2013г. №</w:t>
            </w:r>
            <w:r w:rsidRPr="007B3FB8">
              <w:t>442-ФЗ «Об основах социального обслуживания граждан в Российской Федерации»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Совершенствование нормативной правовой базы, регулирующей общественные отношения в сфере социального обслуживания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Постоянно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и учреждения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2.2.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Проведение мониторинга правоприменения в отношении нормативных правовых актов Российской Федерации, регулирующих общественные отношения в сфере социального обслуживания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Направление в Департамент социальной защиты населения Кемеровской</w:t>
            </w:r>
            <w:r>
              <w:t xml:space="preserve"> </w:t>
            </w:r>
            <w:r w:rsidRPr="007B3FB8">
              <w:t>области предложений о совершенствовании нормативной правовой базы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Ежегодно 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  <w:trHeight w:val="433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2.3.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Внедрение механизма частно-государственного партнерства в систему социального обслуживания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 качества социального обслуживания и расширение спектра услуг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  <w:trHeight w:val="3034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2.4.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Обеспечение бесплатного доступа к информации о поставщиках социальных услуг, предоставляемых ими социальных услугах,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«Интернет»</w:t>
            </w:r>
          </w:p>
        </w:tc>
        <w:tc>
          <w:tcPr>
            <w:tcW w:w="3240" w:type="dxa"/>
            <w:vAlign w:val="center"/>
          </w:tcPr>
          <w:p w:rsidR="00936E14" w:rsidRPr="007B3FB8" w:rsidRDefault="00936E14" w:rsidP="007B3FB8">
            <w:pPr>
              <w:pStyle w:val="Table"/>
            </w:pPr>
            <w:r w:rsidRPr="007B3FB8">
              <w:t>Обеспечение доступности и открытости информации для получателей социальных услуг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Ежегодно 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и учреждения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  <w:trHeight w:val="734"/>
        </w:trPr>
        <w:tc>
          <w:tcPr>
            <w:tcW w:w="14786" w:type="dxa"/>
            <w:gridSpan w:val="9"/>
          </w:tcPr>
          <w:p w:rsidR="00936E14" w:rsidRPr="007B3FB8" w:rsidRDefault="00936E14" w:rsidP="007B3FB8">
            <w:pPr>
              <w:pStyle w:val="Table"/>
            </w:pPr>
            <w:r w:rsidRPr="007B3FB8">
              <w:t>3. Обеспечение межведомственного взаимодействия и координация мер,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направленных на совершенствование деятельности по социальному обслуживанию</w:t>
            </w:r>
          </w:p>
        </w:tc>
      </w:tr>
      <w:tr w:rsidR="00936E14" w:rsidRPr="007B3FB8">
        <w:trPr>
          <w:gridAfter w:val="1"/>
          <w:wAfter w:w="64" w:type="dxa"/>
          <w:trHeight w:val="1124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3.1.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Обобщение и анализ результатов реализации в 2014-2017 годах муниципальной программы Крапивинского района «Социальная поддержка населения Крапивинского муниципального района» на 2014 – 2017 годы.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Подготовка</w:t>
            </w:r>
            <w:r>
              <w:t xml:space="preserve"> </w:t>
            </w:r>
            <w:r w:rsidRPr="007B3FB8">
              <w:t>ежеквартального</w:t>
            </w:r>
            <w:r>
              <w:t xml:space="preserve"> </w:t>
            </w:r>
            <w:r w:rsidRPr="007B3FB8">
              <w:t>и годового отчетов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  <w:r w:rsidRPr="007B3FB8">
              <w:t>Представление информации о результатах анализа исполнения мероприятия в Администрацию Крапивинского муниципального района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2015-2017 годы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и учреждения социальной защиты населения, Управление образования,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МБУЗ «Крапивинская ЦРБ»,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районный совет ветеранов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4C4781">
            <w:pPr>
              <w:pStyle w:val="Table"/>
            </w:pPr>
            <w:r w:rsidRPr="007B3FB8">
              <w:t>3.2.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Обеспечение взаимодействия между МБУЗ «Крапивинская ЦРБ», ОАО «Аптеки Кузбасса» и КЦСОН Крапивинского района по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дом: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анализ практики взаимодействия заинтересованных структур по доставке пожилым людям лекарств на дом;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подготовка комплекса мер и его последующая реализация</w:t>
            </w:r>
            <w:r>
              <w:t xml:space="preserve"> </w:t>
            </w:r>
            <w:r w:rsidRPr="007B3FB8">
              <w:t>в соответствии с принятыми межведомственными соглашениями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Реализация межведомственного</w:t>
            </w:r>
            <w:r>
              <w:t xml:space="preserve"> </w:t>
            </w:r>
            <w:r w:rsidRPr="007B3FB8">
              <w:t xml:space="preserve">взаимодействия между организациями здравоохранения, аптечными организациями и организациями социального обслуживания 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КЦСОН Крапивинского района,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МБУЗ «Крапивинская ЦРБ»,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ОАО «Аптеки Кузбасса»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3.3.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Изучение опыта работы пилотных регионов по организации работы с отдельными категориями граждан (семей), попавших в трудную жизненную ситуацию, с учетом имеющегося опыта работы в области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Внедрение технологии социального сопровождения в системе социального обслуживания населения 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3.4.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Обеспечить исполнение и пролонгацию соглашений о межведомственном сотрудничестве с Отделом Министерства внутренних дел России по Крапивинскому району, управлением образования, ГОУ СПО «Зеленогорский многопрофильный техникум», МБУЗ «Крапивинская ЦРБ», уголовно-исправительной инспекцией, Приходом Никольской церкви святителя Николая, религиозной группой Церковь христиан Веры Евангельской «Крапивинский Христианский центр» и общественными организациями в части решения вопросов социального обслуживания детей-сирот и детей, оставшихся без попечения родителей, граждан старшего поколения, инвалидов, лиц без определенного места жительства, освобожденных из мест лишения свободы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 качества социального обслуживания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3.5.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Реализация программы</w:t>
            </w:r>
            <w:r>
              <w:t xml:space="preserve"> </w:t>
            </w:r>
            <w:r w:rsidRPr="007B3FB8">
              <w:t>по повышению качества жизни пожилых людей на 2014-2018 годы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 качества жизни пожилых людей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  <w:trHeight w:val="241"/>
        </w:trPr>
        <w:tc>
          <w:tcPr>
            <w:tcW w:w="14786" w:type="dxa"/>
            <w:gridSpan w:val="9"/>
          </w:tcPr>
          <w:p w:rsidR="00936E14" w:rsidRPr="007B3FB8" w:rsidRDefault="00936E14" w:rsidP="007B3FB8">
            <w:pPr>
              <w:pStyle w:val="Table"/>
            </w:pPr>
            <w:r w:rsidRPr="007B3FB8">
              <w:t>4. Сокращение очереди на получение социальных услуг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4.1.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Укрепление материально-технической базы учреждений в рамках выделенных субсидий на выполнение муниципальных заданий и иных целей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</w:t>
            </w:r>
            <w:r>
              <w:t xml:space="preserve"> </w:t>
            </w:r>
            <w:r w:rsidRPr="007B3FB8">
              <w:t>предоставляемых социальных услуг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2014-2018 годы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4.2.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Обобщение и распространение передового опыта работы субъектов Российской Федерации по предоставлению социальных</w:t>
            </w:r>
            <w:r>
              <w:t xml:space="preserve"> </w:t>
            </w:r>
            <w:r w:rsidRPr="007B3FB8">
              <w:t>услуг пожилым гражданам в учреждениях с учетом имеющегося опыта в регионе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Проведение семинаров по изучению и обобщению передового опыта работы в КЦСОН Крапивинского района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4.3.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Применение методики расчета нормативных затрат на оказание социальных услуг с использованием механизма подушевых нормативов финансирования социальных услуг на основе рекомендаций</w:t>
            </w:r>
            <w:r>
              <w:t xml:space="preserve"> </w:t>
            </w:r>
            <w:r w:rsidRPr="007B3FB8">
              <w:t xml:space="preserve">Министерства труда и социальной защиты Российской Федерации 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Применение методики по расчету подушевых нормативов финансирования социальных услуг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2015-2016 годы, после принятия нормативных правовых актов Российской Федерации и Кемеровской области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4.4.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Утверждение нормативов подушевого финансирования социальных услуг в учреждениях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Нормативные правовые акты Крапивинского района;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возможность выбора поставщика социальных услуг;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развитие конкурентной среды в системе социального обслуживания населения</w:t>
            </w:r>
          </w:p>
        </w:tc>
        <w:tc>
          <w:tcPr>
            <w:tcW w:w="2520" w:type="dxa"/>
            <w:gridSpan w:val="3"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4.5.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Внедрение лучших практик деятельности социально ориентированных некоммерческих организаций, волонтеров, добровольцев и благотворителей в сфере социального обслуживания на основе рекомендаций Министерства труда и</w:t>
            </w:r>
            <w:r>
              <w:t xml:space="preserve"> </w:t>
            </w:r>
            <w:r w:rsidRPr="007B3FB8">
              <w:t>социальной защиты Российской Федерации по расширению их участия в деятельности по оказанию социальных услуг пожилым гражданам, детям и инвалидам, развитие негосударственных организаций социального обслуживания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Повышение доступности предоставления социальных услуг 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2014-2018 годы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4786" w:type="dxa"/>
            <w:gridSpan w:val="9"/>
          </w:tcPr>
          <w:p w:rsidR="00936E14" w:rsidRPr="007B3FB8" w:rsidRDefault="00936E14" w:rsidP="007B3FB8">
            <w:pPr>
              <w:pStyle w:val="Table"/>
            </w:pPr>
            <w:r w:rsidRPr="007B3FB8">
              <w:t>5. Повышение качества предоставления услуг в сфере социального обслуживания на основе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контроля и оценки качества работы учреждений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5.1. 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Проведение мониторинга работы учреждений социального обслуживания, формирование независимой оценки качества работы указанных учреждений, и составление рейтингов их деятельности, в соответствии с принятыми нормативными и методическими документами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Публикация рейтингов деятельности, разработка и утверждение планов по улучшению качества работы учреждений социального обслуживания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населения, органы местного самоуправления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(по согласованию)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5.2.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Проведение информационной кампании в средствах массовой информации, в том числе с использованием информационно-телекоммуникационной сети «Интернет» о функционировании независимой системы оценки качества работы учреждений социального обслуживания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 информированности потребителей услуг и общественности о проведении независимой оценки и качества работы учреждений социального обслуживания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5.3. 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Проведение мониторинга функционирования независимой системы, оценки качества работы учреждений социального обслуживания в Крапивинском районе, обеспечение организационно-технического сопровождения общественного совета по проведению независимой оценки качества работы указанных учреждений и составлению рейтингов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 уровня предоставления социальных услуг, повышение эффективности работы общественных советов, отчет о реализации независимой системы в Департамент социальной защиты населения Кемеровской области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Администрация Крапивинского муниципального района,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  <w:trHeight w:val="2493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5.4.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Создание в КЦСОН Крапивинского района попечительского совета.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  <w:r w:rsidRPr="007B3FB8">
              <w:t>Анализ работы попечительских советов в учреждениях социального обслуживания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Локальные нормативные акты учреждений социального обслуживания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1 квартал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2014 года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Ежегодно 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  <w:trHeight w:val="1408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5.5.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Обеспечение открытости и доступности информации о деятельности учреждений социального обслуживания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Создание официальных сайтов КЦСОН и СРЦ Крапивинского района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2 квартал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2014 года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  <w:trHeight w:val="698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5.6.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Обеспечение координации работы по реализации в Крапивинском районе независимой системы оценки качества работы организаций, оказывающих социальные услуги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Реализация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Постановления администрации Крапивинского муниципального района № 764 от 16.06.2014 года «О формировании независимой системы оценки качества работы организаций, оказывающих социальные услуги населению Крапивинского муниципального района»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2014 год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Администрация Крапивинского муниципального района,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  <w:trHeight w:val="2257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5.7.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Завершение с участием общественных организаций, профессиональных сообществ, независимых экспертов формирования в Крапивинском районе общественного совета по проведению независимой оценки качества работы организаций и составлению рейтингов. Обеспечение организационно-технического сопровождения деятельности общественного совета по проведению независимой оценки качества работы организаций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Реализация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Постановления администрации Крапивинского муниципального района № 764 от 16.06.2014 года «О формировании независимой системы оценки качества работы организаций, оказывающих социальные услуги населению Крапивинского муниципального района»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2014 год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Администрация Крапивинского муниципального района,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населения, органы местного самоуправления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(по согласованию)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  <w:trHeight w:val="2257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5.8.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Обеспечение объективности в проведении независимой оценки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Администрация Крапивинского муниципального района,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  <w:trHeight w:val="2257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5.9.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Анализ</w:t>
            </w:r>
            <w:r>
              <w:t xml:space="preserve"> </w:t>
            </w:r>
            <w:r w:rsidRPr="007B3FB8">
              <w:t>и совершенствование (дополнение) системы показателей эффективности деятельности учреждений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 соответствии с методическими рекомендациями Министерства труда и социальной защиты Российской Фед</w:t>
            </w:r>
            <w:r>
              <w:t>ерации от 01.07.2013 г. №</w:t>
            </w:r>
            <w:r w:rsidRPr="007B3FB8">
              <w:t>287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 эффективности и качества работы учреждений и ответственности руководителей</w:t>
            </w:r>
            <w:r>
              <w:t xml:space="preserve"> </w:t>
            </w:r>
            <w:r w:rsidRPr="007B3FB8">
              <w:t>и работников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и учреждения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4786" w:type="dxa"/>
            <w:gridSpan w:val="9"/>
          </w:tcPr>
          <w:p w:rsidR="00936E14" w:rsidRPr="007B3FB8" w:rsidRDefault="00936E14" w:rsidP="007B3FB8">
            <w:pPr>
              <w:pStyle w:val="Table"/>
            </w:pPr>
            <w:r w:rsidRPr="007B3FB8">
              <w:t>6. Сохранение кадрового потенциала, повышение престижности и привлекательности профессии социальных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работников, совершенствование оплаты труда социальных работников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</w:t>
            </w:r>
          </w:p>
        </w:tc>
        <w:tc>
          <w:tcPr>
            <w:tcW w:w="13778" w:type="dxa"/>
            <w:gridSpan w:val="7"/>
          </w:tcPr>
          <w:p w:rsidR="00936E14" w:rsidRPr="007B3FB8" w:rsidRDefault="00936E14" w:rsidP="007B3FB8">
            <w:pPr>
              <w:pStyle w:val="Table"/>
            </w:pPr>
            <w:r w:rsidRPr="007B3FB8">
              <w:t>Реализация мер по повышению заработной платы социальным работникам в соответствии с Указом Президента Росси</w:t>
            </w:r>
            <w:r>
              <w:t>йской Федерации от 07.05.2012 №</w:t>
            </w:r>
            <w:r w:rsidRPr="007B3FB8">
              <w:t>597 «О мероприятиях по реализации государственной социальной политики»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6.1.1.</w:t>
            </w:r>
          </w:p>
        </w:tc>
        <w:tc>
          <w:tcPr>
            <w:tcW w:w="5337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</w:t>
            </w:r>
            <w:r>
              <w:t xml:space="preserve"> </w:t>
            </w:r>
            <w:r w:rsidRPr="007B3FB8">
              <w:t>кадрового потенциала</w:t>
            </w:r>
            <w:r>
              <w:t xml:space="preserve"> </w:t>
            </w:r>
            <w:r w:rsidRPr="007B3FB8">
              <w:t xml:space="preserve">работников учреждений 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3367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Анализ и корректировка ежегодных планов мероприятий по повышению кадрового потенциала работников учреждений </w:t>
            </w:r>
          </w:p>
        </w:tc>
        <w:tc>
          <w:tcPr>
            <w:tcW w:w="2445" w:type="dxa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29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6.1.2.</w:t>
            </w:r>
          </w:p>
        </w:tc>
        <w:tc>
          <w:tcPr>
            <w:tcW w:w="5337" w:type="dxa"/>
          </w:tcPr>
          <w:p w:rsidR="00936E14" w:rsidRPr="007B3FB8" w:rsidRDefault="00936E14" w:rsidP="007B3FB8">
            <w:pPr>
              <w:pStyle w:val="Table"/>
            </w:pPr>
            <w:r w:rsidRPr="007B3FB8">
              <w:t>Мониторинг достижения целевых показателей повышения оплаты труда социальных работников в соответствии с Указом Президента Росси</w:t>
            </w:r>
            <w:r>
              <w:t>йской Федерации от 07.05.2012 №</w:t>
            </w:r>
            <w:r w:rsidRPr="007B3FB8">
              <w:t>597 «О реализации государственной социальной политики», а также среднемесячной номинальной заработной платы</w:t>
            </w:r>
            <w:r>
              <w:t xml:space="preserve"> </w:t>
            </w:r>
            <w:r w:rsidRPr="007B3FB8">
              <w:t>в целом по учреждению на заседании районной комиссии</w:t>
            </w:r>
          </w:p>
        </w:tc>
        <w:tc>
          <w:tcPr>
            <w:tcW w:w="3367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Отчет в Департамент социальной защиты населения Кемеровской области, администрацию Крапивинского муниципального района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445" w:type="dxa"/>
          </w:tcPr>
          <w:p w:rsidR="00936E14" w:rsidRPr="007B3FB8" w:rsidRDefault="00936E14" w:rsidP="007B3FB8">
            <w:pPr>
              <w:pStyle w:val="Table"/>
            </w:pPr>
            <w:r w:rsidRPr="007B3FB8">
              <w:t>Ежеквартально</w:t>
            </w:r>
          </w:p>
        </w:tc>
        <w:tc>
          <w:tcPr>
            <w:tcW w:w="2629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 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6.1.3.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Осуществление мероприятий по обеспечению и контролю: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соотношения средней заработной платы основного и вспомогательного персонала учреждений до 1:0,7 – 1:0,5 (с учетом типа учреждения);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предельной оплаты труда работников административно-управленческого и вспомогательного персонала в фонде оплаты труда учреждения не более 40 процентов (приказ департамента социальной защиты населения Кеме</w:t>
            </w:r>
            <w:r>
              <w:t>ровской области от 03.04.2014 №</w:t>
            </w:r>
            <w:r w:rsidRPr="007B3FB8">
              <w:t>41 «Об утверждении предельной величины фонда оплаты труда работников административно-управленческого персонала в фонде оплаты труда учреждения»);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предельного уровня соотношения (не превышающего более чем в 3 раза) оплаты труда руководителей учреждений и средней заработной платы работников за отчетный год (Кузбасское региональное соглашение между Федерацией профсоюзных организаций Кузбасса, Коллегией Администрации Кемеровской области и работодателями Кемеровской области на 2013-2015 годы)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Повышение уровня заработной платы работников учреждений,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поддержание соотношения,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Отчет в Департамент социальной защиты населения Кемеровской области, администрацию Крапивинского муниципального района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Ежеквартально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 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6.1.4.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4C4781">
            <w:pPr>
              <w:pStyle w:val="Table"/>
            </w:pPr>
            <w:r w:rsidRPr="007B3FB8">
              <w:t>Проведение мероприятий по привлечению средств (не менее 30 процентов) на повышение оплаты труда социальных работников за счет интенсификации труда, оптимизации инфраструктуры с целью внедрения комплексного подхода к организации социальных служб, внедрения комплексного подхода при преобразовании учреждений, предоставляющих социальные услуги, оптимизации административно-управленческого персонала, ликвидации структурных подразделений учреждений, предоставляющих социальные услуги, мало востребованные населением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Поэтапное повышение оплаты труда социальных работников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>
              <w:t xml:space="preserve"> </w:t>
            </w:r>
            <w:r w:rsidRPr="007B3FB8">
              <w:t>2014-2017 годы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 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6.1.5.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Расчет потребностей</w:t>
            </w:r>
            <w:r>
              <w:t xml:space="preserve"> </w:t>
            </w:r>
            <w:r w:rsidRPr="007B3FB8">
              <w:t>при формировании областного бюджета расходов на повышение заработной платы работников муниципальных учреждений социального обслуживания в</w:t>
            </w:r>
            <w:r>
              <w:t xml:space="preserve"> </w:t>
            </w:r>
            <w:r w:rsidRPr="007B3FB8">
              <w:t>соответствии с планом-графиком реализации Указа Президента Росси</w:t>
            </w:r>
            <w:r>
              <w:t>йской Федерации от 07.05.2012 №</w:t>
            </w:r>
            <w:r w:rsidRPr="007B3FB8">
              <w:t>597 «О мероприятиях по реализации государственной социальной политики»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Служебная записка в ДСЗН Кемеровской области</w:t>
            </w:r>
            <w:r>
              <w:t xml:space="preserve"> </w:t>
            </w:r>
            <w:r w:rsidRPr="007B3FB8">
              <w:t>о дополнительной потребности финансовых средств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6.1.6.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Подготовка нормативных правовых актов, регламентирующих поэтапное повышение оплаты труда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Нормативные правовые акты Крапивинского района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6.1.7.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Приведение трудовых договоров руководителей учреждений социального обслуживания населения в соответствие с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 типовой формой трудового договора, заключаемого с руководителем учреждения (постановление Правительства Росси</w:t>
            </w:r>
            <w:r>
              <w:t>йской Федерации от 12.04.2013 №</w:t>
            </w:r>
            <w:r w:rsidRPr="007B3FB8">
              <w:t>329 «О типовой форме трудового договора с руководителем государственного (муниципального) учреждения»)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100% приведение трудовых договоров с руководителями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учреждений в соответствии с типовой формой от общего количества учреждений социального обслуживания населения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2014 год-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100 процентов,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далее постоянно с вновь принятыми руководителями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учреждений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6.1.8.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4C4781">
            <w:pPr>
              <w:pStyle w:val="Table"/>
            </w:pPr>
            <w:r w:rsidRPr="007B3FB8">
              <w:t>Проведение мероприятий в рамках создания прозрачного механизма оплаты труда руководителей учреждений по предоставлению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в соответствии с постановлением администрации Крапивинского муниципального района от 31.01.2013</w:t>
            </w:r>
            <w:r>
              <w:t xml:space="preserve"> №</w:t>
            </w:r>
            <w:r w:rsidRPr="007B3FB8">
              <w:t>1117 «Об перечне</w:t>
            </w:r>
            <w:r>
              <w:t xml:space="preserve"> </w:t>
            </w:r>
            <w:r w:rsidRPr="007B3FB8">
              <w:t>должностей муниципальной службы в</w:t>
            </w:r>
            <w:r>
              <w:t xml:space="preserve"> </w:t>
            </w:r>
            <w:r w:rsidRPr="007B3FB8">
              <w:t xml:space="preserve">Крапивинском муниципальном районе при назначении на которые и при замещении которых муниципальные служащие обязаны предоставить сведения своих доходов,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 </w:t>
            </w:r>
          </w:p>
        </w:tc>
        <w:tc>
          <w:tcPr>
            <w:tcW w:w="3240" w:type="dxa"/>
            <w:vMerge w:val="restart"/>
          </w:tcPr>
          <w:p w:rsidR="00936E14" w:rsidRPr="007B3FB8" w:rsidRDefault="00936E14" w:rsidP="007B3FB8">
            <w:pPr>
              <w:pStyle w:val="Table"/>
            </w:pPr>
            <w:r w:rsidRPr="007B3FB8">
              <w:t>Предоставление</w:t>
            </w:r>
            <w:r>
              <w:t xml:space="preserve"> </w:t>
            </w:r>
            <w:r w:rsidRPr="007B3FB8">
              <w:t>руководителями учреждений достоверных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и размещение их в информационно-телекоммуникационной сети «Интернет»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  <w:vMerge w:val="restart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  <w:vMerge w:val="restart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Управление социальной защиты населения, 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руководители учреждений социального обслуживания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6.1.9.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4C4781">
            <w:pPr>
              <w:pStyle w:val="Table"/>
            </w:pPr>
            <w:r w:rsidRPr="007B3FB8">
              <w:t>Контроль за достоверностью и полнотой сведений о доходах, об имуществе и обязательствах имущественного характера (постановлением администрации Крапивинского муниципального района от 24.04.2013</w:t>
            </w:r>
            <w:r>
              <w:t xml:space="preserve"> №</w:t>
            </w:r>
            <w:r w:rsidRPr="007B3FB8">
              <w:t>602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      </w:r>
            <w:r>
              <w:t xml:space="preserve"> </w:t>
            </w:r>
            <w:r w:rsidRPr="007B3FB8">
              <w:t>муниципальных служащих Крапивинского муниципального района, и лицами, замещающими эти должности»).</w:t>
            </w:r>
          </w:p>
        </w:tc>
        <w:tc>
          <w:tcPr>
            <w:tcW w:w="3240" w:type="dxa"/>
            <w:vMerge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  <w:vMerge/>
          </w:tcPr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6.1.10.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Проведение разъяснительной работы в учреждениях об этапах проведения мероприятий по повышению оплаты труда, должностях, подпадающих под действие Указа Президента Российской Федерации от 07.05.2012 № 597 «О мероприятиях по реализации государственной социальной политики» и перехода на «эффективный контракт» с участием профсоюзов</w:t>
            </w:r>
          </w:p>
        </w:tc>
        <w:tc>
          <w:tcPr>
            <w:tcW w:w="3240" w:type="dxa"/>
            <w:vMerge w:val="restart"/>
          </w:tcPr>
          <w:p w:rsidR="00936E14" w:rsidRPr="007B3FB8" w:rsidRDefault="00936E14" w:rsidP="007B3FB8">
            <w:pPr>
              <w:pStyle w:val="Table"/>
            </w:pPr>
            <w:r w:rsidRPr="007B3FB8">
              <w:t>Повышение информированности работников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>проведение семинаров, совещаний, встреч в трудовых коллективах в соответствии с планом работы управления социальной защиты населения</w:t>
            </w:r>
          </w:p>
        </w:tc>
        <w:tc>
          <w:tcPr>
            <w:tcW w:w="2520" w:type="dxa"/>
            <w:gridSpan w:val="3"/>
            <w:vMerge w:val="restart"/>
          </w:tcPr>
          <w:p w:rsidR="00936E14" w:rsidRPr="007B3FB8" w:rsidRDefault="00936E14" w:rsidP="007B3FB8">
            <w:pPr>
              <w:pStyle w:val="Table"/>
            </w:pPr>
            <w:r w:rsidRPr="007B3FB8">
              <w:t>Постоянно</w:t>
            </w:r>
          </w:p>
        </w:tc>
        <w:tc>
          <w:tcPr>
            <w:tcW w:w="2618" w:type="dxa"/>
            <w:vMerge w:val="restart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</w:t>
            </w:r>
            <w:r>
              <w:t xml:space="preserve"> </w:t>
            </w:r>
            <w:r w:rsidRPr="007B3FB8">
              <w:t>и учреждения социальной защиты населения</w:t>
            </w:r>
          </w:p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6.1.11.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Анализ обращений работников учреждений, ответы на вопросы на сайте администрации Крапивинского района в части повышения заработной платы</w:t>
            </w:r>
          </w:p>
        </w:tc>
        <w:tc>
          <w:tcPr>
            <w:tcW w:w="3240" w:type="dxa"/>
            <w:vMerge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  <w:vMerge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6.1.12.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Обсуждение реализации «дорожной карты» на заседаниях районной комиссии</w:t>
            </w:r>
          </w:p>
        </w:tc>
        <w:tc>
          <w:tcPr>
            <w:tcW w:w="3240" w:type="dxa"/>
            <w:vMerge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  <w:vMerge/>
            <w:vAlign w:val="center"/>
          </w:tcPr>
          <w:p w:rsidR="00936E14" w:rsidRPr="007B3FB8" w:rsidRDefault="00936E14" w:rsidP="007B3FB8">
            <w:pPr>
              <w:pStyle w:val="Table"/>
            </w:pP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6.1.13.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Применение расширенного территориального перечня, положения и тарифов на платные социальные услуги, оказываемые гражданам пожилого возраста и инвалидам на дому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Нормативный правовой акт Крапивинского района; увеличение объема средств на оплату труда работникам учреждений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2015 год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6.1.14.</w:t>
            </w: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Организация и оказание методической помощи по проведению аттестации работников учреждений с последующим поэтапным переводом работников учреждений на «эффективный</w:t>
            </w:r>
            <w:r>
              <w:t xml:space="preserve"> </w:t>
            </w:r>
            <w:r w:rsidRPr="007B3FB8">
              <w:t>контракт» с учетом определения критериев выбора переводимых на «эффективный</w:t>
            </w:r>
            <w:r>
              <w:t xml:space="preserve"> </w:t>
            </w:r>
            <w:r w:rsidRPr="007B3FB8">
              <w:t xml:space="preserve">контракт» работников и сроков их перевода на него 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 Рекомендации</w:t>
            </w:r>
            <w:r>
              <w:t xml:space="preserve"> </w:t>
            </w:r>
            <w:r w:rsidRPr="007B3FB8">
              <w:t>Управления</w:t>
            </w:r>
            <w:r>
              <w:t xml:space="preserve"> </w:t>
            </w:r>
            <w:r w:rsidRPr="007B3FB8">
              <w:t>социальной защиты населения, повышение качества предоставляемых социальных услуг; заинтересованности в достигнутых результатах труда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</w:t>
            </w:r>
          </w:p>
          <w:p w:rsidR="00936E14" w:rsidRPr="007B3FB8" w:rsidRDefault="00936E14" w:rsidP="007B3FB8">
            <w:pPr>
              <w:pStyle w:val="Table"/>
            </w:pP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</w:t>
            </w:r>
            <w:r>
              <w:t xml:space="preserve"> </w:t>
            </w:r>
            <w:r w:rsidRPr="007B3FB8">
              <w:t xml:space="preserve">и учреждения социальной защиты населения 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6.2.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Актуализация квалификационных требований и компетенций, необходимых для оказания муниципальных</w:t>
            </w:r>
            <w:r>
              <w:t xml:space="preserve"> </w:t>
            </w:r>
            <w:r w:rsidRPr="007B3FB8">
              <w:t>услуг (выполнения работ), организация соответствующей профессиональной подготовки и повышения квалификации работников муниципальных</w:t>
            </w:r>
            <w:r>
              <w:t xml:space="preserve"> </w:t>
            </w:r>
            <w:r w:rsidRPr="007B3FB8">
              <w:t>учреждений, наряду с совершенствованием системы оплаты труда и разработкой системы оценки эффективности деятельности работников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Разработка и утверждение плана, показателей и сроков их достижений, должностных инструкций, регламентов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 3-4 квартал 2014 года</w:t>
            </w:r>
          </w:p>
          <w:p w:rsidR="00936E14" w:rsidRPr="007B3FB8" w:rsidRDefault="00936E14" w:rsidP="007B3FB8">
            <w:pPr>
              <w:pStyle w:val="Table"/>
            </w:pPr>
            <w:r w:rsidRPr="007B3FB8">
              <w:t xml:space="preserve">Ежегодно 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</w:trPr>
        <w:tc>
          <w:tcPr>
            <w:tcW w:w="1008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6.3.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7B3FB8">
            <w:pPr>
              <w:pStyle w:val="Table"/>
            </w:pPr>
            <w:r w:rsidRPr="007B3FB8">
              <w:t>Проведение мероприятий по внедрению систем нормирования труда. Осуществление контроля за соблюдением учреждениями статьи 159 Трудового кодекса Российской Федерации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 xml:space="preserve">Внедрение нормативов труда с учетом особенностей организации и условий труда в учреждениях 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4C4781">
            <w:pPr>
              <w:pStyle w:val="Table"/>
            </w:pPr>
            <w:r>
              <w:t>2014-2017 годы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  <w:tr w:rsidR="00936E14" w:rsidRPr="007B3FB8">
        <w:trPr>
          <w:gridAfter w:val="1"/>
          <w:wAfter w:w="64" w:type="dxa"/>
          <w:trHeight w:val="2141"/>
        </w:trPr>
        <w:tc>
          <w:tcPr>
            <w:tcW w:w="1008" w:type="dxa"/>
            <w:gridSpan w:val="2"/>
          </w:tcPr>
          <w:p w:rsidR="00936E14" w:rsidRPr="007B3FB8" w:rsidRDefault="00936E14" w:rsidP="004C4781">
            <w:pPr>
              <w:pStyle w:val="Table"/>
            </w:pPr>
            <w:r w:rsidRPr="007B3FB8">
              <w:t>6.4.</w:t>
            </w:r>
          </w:p>
        </w:tc>
        <w:tc>
          <w:tcPr>
            <w:tcW w:w="5400" w:type="dxa"/>
            <w:gridSpan w:val="2"/>
          </w:tcPr>
          <w:p w:rsidR="00936E14" w:rsidRPr="007B3FB8" w:rsidRDefault="00936E14" w:rsidP="004C4781">
            <w:pPr>
              <w:pStyle w:val="Table"/>
            </w:pPr>
            <w:r w:rsidRPr="007B3FB8">
              <w:t>Проведение подготовительной работы по внедрению профессиональных стандартов в сфере социального обслуживания</w:t>
            </w:r>
          </w:p>
        </w:tc>
        <w:tc>
          <w:tcPr>
            <w:tcW w:w="3240" w:type="dxa"/>
          </w:tcPr>
          <w:p w:rsidR="00936E14" w:rsidRPr="007B3FB8" w:rsidRDefault="00936E14" w:rsidP="007B3FB8">
            <w:pPr>
              <w:pStyle w:val="Table"/>
            </w:pPr>
            <w:r w:rsidRPr="007B3FB8">
              <w:t>Внедрение профессиональных стандартов (подготовка и переподготовка работников, аттестация); повышение качества предоставляемых социальных услуг</w:t>
            </w:r>
          </w:p>
        </w:tc>
        <w:tc>
          <w:tcPr>
            <w:tcW w:w="2520" w:type="dxa"/>
            <w:gridSpan w:val="3"/>
          </w:tcPr>
          <w:p w:rsidR="00936E14" w:rsidRPr="007B3FB8" w:rsidRDefault="00936E14" w:rsidP="007B3FB8">
            <w:pPr>
              <w:pStyle w:val="Table"/>
            </w:pPr>
            <w:r w:rsidRPr="007B3FB8">
              <w:t>Ежегодно по мере вступления в силу профессиональных стандартов</w:t>
            </w:r>
          </w:p>
        </w:tc>
        <w:tc>
          <w:tcPr>
            <w:tcW w:w="2618" w:type="dxa"/>
          </w:tcPr>
          <w:p w:rsidR="00936E14" w:rsidRPr="007B3FB8" w:rsidRDefault="00936E14" w:rsidP="007B3FB8">
            <w:pPr>
              <w:pStyle w:val="Table"/>
            </w:pPr>
            <w:r w:rsidRPr="007B3FB8">
              <w:t>Управление и учреждения социальной защиты населения</w:t>
            </w:r>
          </w:p>
        </w:tc>
      </w:tr>
    </w:tbl>
    <w:p w:rsidR="00936E14" w:rsidRPr="007B3FB8" w:rsidRDefault="00936E14" w:rsidP="007B3FB8"/>
    <w:p w:rsidR="00936E14" w:rsidRPr="007B3FB8" w:rsidRDefault="00936E14" w:rsidP="007B3FB8">
      <w:pPr>
        <w:jc w:val="right"/>
        <w:rPr>
          <w:b/>
          <w:bCs/>
          <w:kern w:val="28"/>
          <w:sz w:val="32"/>
          <w:szCs w:val="32"/>
        </w:rPr>
      </w:pPr>
      <w:r w:rsidRPr="007B3FB8">
        <w:rPr>
          <w:b/>
          <w:bCs/>
          <w:kern w:val="28"/>
          <w:sz w:val="32"/>
          <w:szCs w:val="32"/>
        </w:rPr>
        <w:t>Приложение</w:t>
      </w:r>
    </w:p>
    <w:p w:rsidR="00936E14" w:rsidRPr="007B3FB8" w:rsidRDefault="00936E14" w:rsidP="007B3FB8">
      <w:pPr>
        <w:jc w:val="right"/>
        <w:rPr>
          <w:b/>
          <w:bCs/>
          <w:kern w:val="28"/>
          <w:sz w:val="32"/>
          <w:szCs w:val="32"/>
        </w:rPr>
      </w:pPr>
      <w:r w:rsidRPr="007B3FB8">
        <w:rPr>
          <w:b/>
          <w:bCs/>
          <w:kern w:val="28"/>
          <w:sz w:val="32"/>
          <w:szCs w:val="32"/>
        </w:rPr>
        <w:t>к Плану мероприятий ("дорожная карта")</w:t>
      </w:r>
    </w:p>
    <w:p w:rsidR="00936E14" w:rsidRDefault="00936E14" w:rsidP="007B3FB8">
      <w:pPr>
        <w:jc w:val="right"/>
        <w:rPr>
          <w:b/>
          <w:bCs/>
          <w:kern w:val="28"/>
          <w:sz w:val="32"/>
          <w:szCs w:val="32"/>
        </w:rPr>
      </w:pPr>
      <w:r w:rsidRPr="007B3FB8">
        <w:rPr>
          <w:b/>
          <w:bCs/>
          <w:kern w:val="28"/>
          <w:sz w:val="32"/>
          <w:szCs w:val="32"/>
        </w:rPr>
        <w:t>"Повышение эффективности и качества услуг в сфере социального обслуживания населения 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936E14" w:rsidRPr="007B3FB8" w:rsidRDefault="00936E14" w:rsidP="007B3FB8">
      <w:pPr>
        <w:jc w:val="right"/>
        <w:rPr>
          <w:b/>
          <w:bCs/>
          <w:kern w:val="28"/>
          <w:sz w:val="32"/>
          <w:szCs w:val="32"/>
        </w:rPr>
      </w:pPr>
      <w:r w:rsidRPr="007B3FB8">
        <w:rPr>
          <w:b/>
          <w:bCs/>
          <w:kern w:val="28"/>
          <w:sz w:val="32"/>
          <w:szCs w:val="32"/>
        </w:rPr>
        <w:t>на 2014-2018 годы"</w:t>
      </w:r>
    </w:p>
    <w:p w:rsidR="00936E14" w:rsidRPr="007B3FB8" w:rsidRDefault="00936E14" w:rsidP="007B3FB8"/>
    <w:p w:rsidR="00936E14" w:rsidRPr="007B3FB8" w:rsidRDefault="00936E14" w:rsidP="007B3FB8">
      <w:pPr>
        <w:jc w:val="center"/>
        <w:rPr>
          <w:b/>
          <w:bCs/>
          <w:sz w:val="30"/>
          <w:szCs w:val="30"/>
        </w:rPr>
      </w:pPr>
      <w:r w:rsidRPr="007B3FB8">
        <w:rPr>
          <w:b/>
          <w:bCs/>
          <w:sz w:val="30"/>
          <w:szCs w:val="30"/>
        </w:rPr>
        <w:t>Показатели нормативов муниципальной "дорожной карты" Крапивинского муниципального района</w:t>
      </w:r>
    </w:p>
    <w:p w:rsidR="00936E14" w:rsidRPr="007B3FB8" w:rsidRDefault="00936E14" w:rsidP="007B3FB8"/>
    <w:p w:rsidR="00936E14" w:rsidRPr="007B3FB8" w:rsidRDefault="00936E14" w:rsidP="007B3FB8">
      <w:r w:rsidRPr="007B3FB8">
        <w:t>Муниципальное образование Кемеровской области:</w:t>
      </w:r>
    </w:p>
    <w:p w:rsidR="00936E14" w:rsidRPr="007B3FB8" w:rsidRDefault="00936E14" w:rsidP="007B3FB8"/>
    <w:p w:rsidR="00936E14" w:rsidRPr="007B3FB8" w:rsidRDefault="00936E14" w:rsidP="007B3FB8">
      <w:r w:rsidRPr="007B3FB8">
        <w:t>Категория работников: Социальные работники</w:t>
      </w:r>
    </w:p>
    <w:p w:rsidR="00936E14" w:rsidRPr="007B3FB8" w:rsidRDefault="00936E14" w:rsidP="007B3FB8"/>
    <w:tbl>
      <w:tblPr>
        <w:tblW w:w="5000" w:type="pct"/>
        <w:tblInd w:w="-106" w:type="dxa"/>
        <w:tblLayout w:type="fixed"/>
        <w:tblLook w:val="00A0"/>
      </w:tblPr>
      <w:tblGrid>
        <w:gridCol w:w="370"/>
        <w:gridCol w:w="3085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36E14" w:rsidRPr="004C4781">
        <w:trPr>
          <w:trHeight w:val="63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0"/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Наименование показателей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2012 г. факт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2013 г. факт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2014 г.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2015 г.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2016 г.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2017 г.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2018 г.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2016 г.- 2014 г.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0"/>
            </w:pPr>
            <w:r w:rsidRPr="004C4781">
              <w:t>2018 г.- 2013 г.</w:t>
            </w:r>
          </w:p>
        </w:tc>
      </w:tr>
      <w:tr w:rsidR="00936E14" w:rsidRPr="004C4781">
        <w:trPr>
          <w:trHeight w:val="126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Норматив числа получателей услуг на 1 социального работника (по среднесписочной численности социальных</w:t>
            </w:r>
            <w:r>
              <w:t xml:space="preserve"> </w:t>
            </w:r>
            <w:bookmarkStart w:id="0" w:name="_GoBack"/>
            <w:bookmarkEnd w:id="0"/>
            <w:r w:rsidRPr="004C4781">
              <w:t>работников) в Кемеровской области с учетом региональной специфики**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7,3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8,1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145,0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150,4</w:t>
            </w:r>
          </w:p>
        </w:tc>
      </w:tr>
      <w:tr w:rsidR="00936E14" w:rsidRPr="004C4781">
        <w:trPr>
          <w:trHeight w:val="40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Число получателей услуг, чел.**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502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132,0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136,9</w:t>
            </w:r>
          </w:p>
        </w:tc>
      </w:tr>
      <w:tr w:rsidR="00936E14" w:rsidRPr="004C4781">
        <w:trPr>
          <w:trHeight w:val="66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Среднесписочная численность социальных работников: человек**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91,0</w:t>
            </w:r>
          </w:p>
        </w:tc>
      </w:tr>
      <w:tr w:rsidR="00936E14" w:rsidRPr="004C4781">
        <w:trPr>
          <w:trHeight w:val="37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Численность населения муниципального образования, чел.**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24 449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23 942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23 740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23 600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23 400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23 200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23 000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97,7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96,1</w:t>
            </w:r>
          </w:p>
        </w:tc>
      </w:tr>
      <w:tr w:rsidR="00936E14" w:rsidRPr="004C4781">
        <w:trPr>
          <w:trHeight w:val="94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Планируемое соотношение средней заработной платы социальных работников и средней заработной платы в Кемеровской области: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</w:tr>
      <w:tr w:rsidR="00936E14" w:rsidRPr="004C4781">
        <w:trPr>
          <w:trHeight w:val="94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58,0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68,5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79,0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89,5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</w:tr>
      <w:tr w:rsidR="00936E14" w:rsidRPr="004C4781">
        <w:trPr>
          <w:trHeight w:val="34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по муниципальному образованию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47,1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58,0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79,0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</w:tr>
      <w:tr w:rsidR="00936E14" w:rsidRPr="004C4781">
        <w:trPr>
          <w:trHeight w:val="63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Средняя заработная плата работников по Кемеровской области, руб.**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23 403,2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25 376,0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26 732,3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27 748,0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35 629,0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39 429,0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43 476,0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140,4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171,3</w:t>
            </w:r>
          </w:p>
        </w:tc>
      </w:tr>
      <w:tr w:rsidR="00936E14" w:rsidRPr="004C4781">
        <w:trPr>
          <w:trHeight w:val="36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Темп роста к предыдущему году,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108,4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105,3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103,8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128,4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110,7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110,3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</w:tr>
      <w:tr w:rsidR="00936E14" w:rsidRPr="004C4781">
        <w:trPr>
          <w:trHeight w:val="63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Среднемесячная заработная плата социальных работников, рублей**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11 950,0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16 247,1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16 926,3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28 147,0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39 429,0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43 476,0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235,5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363,8</w:t>
            </w:r>
          </w:p>
        </w:tc>
      </w:tr>
      <w:tr w:rsidR="00936E14" w:rsidRPr="004C4781">
        <w:trPr>
          <w:trHeight w:val="36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Темп роста к предыдущему году,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136,0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104,2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166,3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140,1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110,3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</w:tr>
      <w:tr w:rsidR="00936E14" w:rsidRPr="004C4781">
        <w:trPr>
          <w:trHeight w:val="63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Доля от средств от приносящей доход деятельности в фонде заработной платы по социальным работникам,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</w:tr>
      <w:tr w:rsidR="00936E14" w:rsidRPr="004C4781">
        <w:trPr>
          <w:trHeight w:val="36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Размер начислений на фонд оплаты труда,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</w:tr>
      <w:tr w:rsidR="00936E14" w:rsidRPr="004C4781">
        <w:trPr>
          <w:trHeight w:val="36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Фонд оплаты труда с начислениями, млн. рублей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8,4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15,7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16,1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26,8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37,6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41,4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58,7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150,2</w:t>
            </w:r>
          </w:p>
        </w:tc>
      </w:tr>
      <w:tr w:rsidR="00936E14" w:rsidRPr="004C4781">
        <w:trPr>
          <w:trHeight w:val="40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 xml:space="preserve">Прирост фонда оплаты труда с начислениями к 2013 г., млн.руб.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14,3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25,1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28,9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21,2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79,2</w:t>
            </w:r>
          </w:p>
        </w:tc>
      </w:tr>
      <w:tr w:rsidR="00936E14" w:rsidRPr="004C4781">
        <w:trPr>
          <w:trHeight w:val="31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</w:tr>
      <w:tr w:rsidR="00936E14" w:rsidRPr="004C4781">
        <w:trPr>
          <w:trHeight w:val="94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 xml:space="preserve">за счет средств консолидированного бюджета Кемеровской области, включая дотацию из федерального бюджета, млн. руб.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13,6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24,1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27,8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19,6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71,5</w:t>
            </w:r>
          </w:p>
        </w:tc>
      </w:tr>
      <w:tr w:rsidR="00936E14" w:rsidRPr="004C4781">
        <w:trPr>
          <w:trHeight w:val="94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включая средства, полученные за счет проведения мероприятий по оптимизации, (млн.</w:t>
            </w:r>
            <w:r>
              <w:t xml:space="preserve"> </w:t>
            </w:r>
            <w:r w:rsidRPr="004C4781">
              <w:t xml:space="preserve">руб.) </w:t>
            </w:r>
            <w:r>
              <w:rPr>
                <w:i/>
                <w:iCs/>
              </w:rPr>
              <w:t>(</w:t>
            </w:r>
            <w:r w:rsidRPr="004C4781">
              <w:rPr>
                <w:i/>
                <w:iCs/>
              </w:rPr>
              <w:t>стр.19+стр.20+стр.21)</w:t>
            </w:r>
            <w:r w:rsidRPr="004C4781">
              <w:t>, из них: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6,9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7,9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23,7</w:t>
            </w:r>
          </w:p>
        </w:tc>
      </w:tr>
      <w:tr w:rsidR="00936E14" w:rsidRPr="004C4781">
        <w:trPr>
          <w:trHeight w:val="36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от реструктуризации сети, млн. рублей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</w:tr>
      <w:tr w:rsidR="00936E14" w:rsidRPr="004C4781">
        <w:trPr>
          <w:trHeight w:val="96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от оптимизации численности персонала, в том числе административно-управленческого персонала (</w:t>
            </w:r>
            <w:r w:rsidRPr="004C4781">
              <w:rPr>
                <w:i/>
                <w:iCs/>
              </w:rPr>
              <w:t>стр.20.1+стр.20.2)</w:t>
            </w:r>
            <w:r w:rsidRPr="004C4781">
              <w:t>, млн. рублей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5,1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14,6</w:t>
            </w:r>
          </w:p>
        </w:tc>
      </w:tr>
      <w:tr w:rsidR="00936E14" w:rsidRPr="004C4781">
        <w:trPr>
          <w:trHeight w:val="64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 xml:space="preserve"> 23.1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ЗП иных работников  учреждений социального обслуживания, рублей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12 161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12 811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13 298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17 075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18 896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20 835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43 183,3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 </w:t>
            </w:r>
          </w:p>
        </w:tc>
      </w:tr>
      <w:tr w:rsidR="00936E14" w:rsidRPr="004C4781">
        <w:trPr>
          <w:trHeight w:val="63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 xml:space="preserve"> 20.1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14" w:rsidRPr="004C4781" w:rsidRDefault="00936E14" w:rsidP="004C4781">
            <w:pPr>
              <w:pStyle w:val="Table"/>
            </w:pPr>
            <w:r w:rsidRPr="004C4781">
              <w:t>Объем средств от оптимизации за счет сокращения численности социальных работников, млн. рублей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5,5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13,3</w:t>
            </w:r>
          </w:p>
        </w:tc>
      </w:tr>
      <w:tr w:rsidR="00936E14" w:rsidRPr="004C4781">
        <w:trPr>
          <w:trHeight w:val="94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 xml:space="preserve"> 20.2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14" w:rsidRPr="004C4781" w:rsidRDefault="00936E14" w:rsidP="004C4781">
            <w:pPr>
              <w:pStyle w:val="Table"/>
            </w:pPr>
            <w:r w:rsidRPr="004C4781">
              <w:t>Объем средств от оптимизации за счет сокращения численности иных работников сферы социального обслуживания, млн. рублей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-0,6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-0,2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-0,5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1,3</w:t>
            </w:r>
          </w:p>
        </w:tc>
      </w:tr>
      <w:tr w:rsidR="00936E14" w:rsidRPr="004C4781">
        <w:trPr>
          <w:trHeight w:val="63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от сокращения и оптимизации расходов на содержание учреждений, млн. рублей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2,80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9,1</w:t>
            </w:r>
          </w:p>
        </w:tc>
      </w:tr>
      <w:tr w:rsidR="00936E14" w:rsidRPr="004C4781">
        <w:trPr>
          <w:trHeight w:val="37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за счет средств от приносящей доход деятельности, млн. руб.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4,0</w:t>
            </w:r>
          </w:p>
        </w:tc>
      </w:tr>
      <w:tr w:rsidR="00936E14" w:rsidRPr="004C4781">
        <w:trPr>
          <w:trHeight w:val="94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за счет иных источников (решений), включая корректировку консолидированного бюджета Кемеровской области на соответствующий год, млн. рублей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0,0</w:t>
            </w:r>
          </w:p>
        </w:tc>
      </w:tr>
      <w:tr w:rsidR="00936E14" w:rsidRPr="004C4781">
        <w:trPr>
          <w:trHeight w:val="63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Итого, объем средств, предусмотренный на повышение оплаты труда, млн. руб. (стр. 17+22+23)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14,3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25,1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28,9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21,2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75,2</w:t>
            </w:r>
          </w:p>
        </w:tc>
      </w:tr>
      <w:tr w:rsidR="00936E14" w:rsidRPr="004C4781">
        <w:trPr>
          <w:trHeight w:val="70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14" w:rsidRPr="004C4781" w:rsidRDefault="00936E14" w:rsidP="004C4781">
            <w:pPr>
              <w:pStyle w:val="Table"/>
            </w:pPr>
            <w:r w:rsidRPr="004C4781">
              <w:t>Соотношение объема средств от оптимизации к сумме объема средств, предусмотренного на повышение оплаты труда, % (стр. 18/стр. 24*100%)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39,3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79,5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33,6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27,1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42,3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29,9</w:t>
            </w:r>
          </w:p>
        </w:tc>
      </w:tr>
      <w:tr w:rsidR="00936E14" w:rsidRPr="004C4781">
        <w:trPr>
          <w:trHeight w:val="45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Среднесписочная численность иных работников, чел.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99,2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97,5</w:t>
            </w:r>
          </w:p>
        </w:tc>
      </w:tr>
      <w:tr w:rsidR="00936E14" w:rsidRPr="004C4781">
        <w:trPr>
          <w:trHeight w:val="63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6E14" w:rsidRPr="004C4781" w:rsidRDefault="00936E14" w:rsidP="004C4781">
            <w:pPr>
              <w:pStyle w:val="Table"/>
            </w:pPr>
            <w:r w:rsidRPr="004C4781"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Среднесписочная численность работников учреждений социального обслуживания, чел.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96,3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95,2</w:t>
            </w:r>
          </w:p>
        </w:tc>
      </w:tr>
      <w:tr w:rsidR="00936E14" w:rsidRPr="004C4781">
        <w:trPr>
          <w:trHeight w:val="315"/>
        </w:trPr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* - прирост фонда оплаты труда с начислениями к 2012 г.</w:t>
            </w:r>
          </w:p>
        </w:tc>
      </w:tr>
      <w:tr w:rsidR="00936E14" w:rsidRPr="004C4781">
        <w:trPr>
          <w:trHeight w:val="300"/>
        </w:trPr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** - темп роста 2018, 2016 к 2013 года</w:t>
            </w:r>
          </w:p>
        </w:tc>
      </w:tr>
      <w:tr w:rsidR="00936E14" w:rsidRPr="004C4781">
        <w:trPr>
          <w:trHeight w:val="300"/>
        </w:trPr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Ячейки, окрашенные:</w:t>
            </w:r>
          </w:p>
        </w:tc>
      </w:tr>
      <w:tr w:rsidR="00936E14" w:rsidRPr="004C4781">
        <w:trPr>
          <w:trHeight w:val="300"/>
        </w:trPr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1). в желтый цвет - не заполнять (данные и формулы не менять)</w:t>
            </w:r>
          </w:p>
        </w:tc>
      </w:tr>
      <w:tr w:rsidR="00936E14" w:rsidRPr="004C4781">
        <w:trPr>
          <w:trHeight w:val="300"/>
        </w:trPr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2). в красный цвет - заполнять по данным отчетов (с приложением их копий), мероприятия и расчеты  по стр.19 и 21 отразить отдельно</w:t>
            </w:r>
          </w:p>
        </w:tc>
      </w:tr>
      <w:tr w:rsidR="00936E14" w:rsidRPr="004C4781">
        <w:trPr>
          <w:trHeight w:val="300"/>
        </w:trPr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E14" w:rsidRPr="004C4781" w:rsidRDefault="00936E14" w:rsidP="004C4781">
            <w:pPr>
              <w:pStyle w:val="Table"/>
            </w:pPr>
            <w:r w:rsidRPr="004C4781">
              <w:t>3). в зеленый цвет - заполнять по данным согласно приложнию</w:t>
            </w:r>
          </w:p>
        </w:tc>
      </w:tr>
    </w:tbl>
    <w:p w:rsidR="00936E14" w:rsidRPr="007B3FB8" w:rsidRDefault="00936E14" w:rsidP="004C4781"/>
    <w:sectPr w:rsidR="00936E14" w:rsidRPr="007B3FB8" w:rsidSect="004864B3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9750C71"/>
    <w:multiLevelType w:val="hybridMultilevel"/>
    <w:tmpl w:val="30082F3C"/>
    <w:lvl w:ilvl="0" w:tplc="3ADA2036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3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7">
    <w:nsid w:val="12DD550B"/>
    <w:multiLevelType w:val="hybridMultilevel"/>
    <w:tmpl w:val="69E0254E"/>
    <w:lvl w:ilvl="0" w:tplc="103E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2C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43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C6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E9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25B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66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88F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C3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3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A251202"/>
    <w:multiLevelType w:val="multilevel"/>
    <w:tmpl w:val="292CD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D57B22"/>
    <w:multiLevelType w:val="hybridMultilevel"/>
    <w:tmpl w:val="C442AE06"/>
    <w:lvl w:ilvl="0" w:tplc="65E46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C1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C7F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2C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0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658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0E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41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48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1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1522CB"/>
    <w:multiLevelType w:val="hybridMultilevel"/>
    <w:tmpl w:val="F9166962"/>
    <w:lvl w:ilvl="0" w:tplc="E2603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2FF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66E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01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E25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8A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E8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070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0B4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B46838"/>
    <w:multiLevelType w:val="multilevel"/>
    <w:tmpl w:val="37AC1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7">
    <w:nsid w:val="54896027"/>
    <w:multiLevelType w:val="multilevel"/>
    <w:tmpl w:val="E6886CF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abstractNum w:abstractNumId="28">
    <w:nsid w:val="555573EA"/>
    <w:multiLevelType w:val="hybridMultilevel"/>
    <w:tmpl w:val="66B0D9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3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F0F27EE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33"/>
  </w:num>
  <w:num w:numId="5">
    <w:abstractNumId w:val="41"/>
  </w:num>
  <w:num w:numId="6">
    <w:abstractNumId w:val="30"/>
  </w:num>
  <w:num w:numId="7">
    <w:abstractNumId w:val="13"/>
  </w:num>
  <w:num w:numId="8">
    <w:abstractNumId w:val="7"/>
  </w:num>
  <w:num w:numId="9">
    <w:abstractNumId w:val="17"/>
  </w:num>
  <w:num w:numId="10">
    <w:abstractNumId w:val="23"/>
  </w:num>
  <w:num w:numId="11">
    <w:abstractNumId w:val="33"/>
    <w:lvlOverride w:ilvl="0">
      <w:startOverride w:val="1"/>
    </w:lvlOverride>
  </w:num>
  <w:num w:numId="12">
    <w:abstractNumId w:val="31"/>
  </w:num>
  <w:num w:numId="13">
    <w:abstractNumId w:val="1"/>
  </w:num>
  <w:num w:numId="14">
    <w:abstractNumId w:val="39"/>
  </w:num>
  <w:num w:numId="15">
    <w:abstractNumId w:val="4"/>
  </w:num>
  <w:num w:numId="16">
    <w:abstractNumId w:val="12"/>
  </w:num>
  <w:num w:numId="17">
    <w:abstractNumId w:val="38"/>
  </w:num>
  <w:num w:numId="18">
    <w:abstractNumId w:val="11"/>
  </w:num>
  <w:num w:numId="19">
    <w:abstractNumId w:val="35"/>
  </w:num>
  <w:num w:numId="20">
    <w:abstractNumId w:val="20"/>
  </w:num>
  <w:num w:numId="21">
    <w:abstractNumId w:val="26"/>
  </w:num>
  <w:num w:numId="22">
    <w:abstractNumId w:val="19"/>
  </w:num>
  <w:num w:numId="23">
    <w:abstractNumId w:val="34"/>
  </w:num>
  <w:num w:numId="24">
    <w:abstractNumId w:val="14"/>
  </w:num>
  <w:num w:numId="25">
    <w:abstractNumId w:val="9"/>
  </w:num>
  <w:num w:numId="26">
    <w:abstractNumId w:val="0"/>
  </w:num>
  <w:num w:numId="27">
    <w:abstractNumId w:val="15"/>
  </w:num>
  <w:num w:numId="28">
    <w:abstractNumId w:val="32"/>
  </w:num>
  <w:num w:numId="29">
    <w:abstractNumId w:val="18"/>
  </w:num>
  <w:num w:numId="30">
    <w:abstractNumId w:val="40"/>
  </w:num>
  <w:num w:numId="31">
    <w:abstractNumId w:val="6"/>
  </w:num>
  <w:num w:numId="32">
    <w:abstractNumId w:val="29"/>
  </w:num>
  <w:num w:numId="33">
    <w:abstractNumId w:val="8"/>
  </w:num>
  <w:num w:numId="34">
    <w:abstractNumId w:val="10"/>
  </w:num>
  <w:num w:numId="35">
    <w:abstractNumId w:val="43"/>
  </w:num>
  <w:num w:numId="36">
    <w:abstractNumId w:val="37"/>
  </w:num>
  <w:num w:numId="37">
    <w:abstractNumId w:val="5"/>
  </w:num>
  <w:num w:numId="38">
    <w:abstractNumId w:val="21"/>
  </w:num>
  <w:num w:numId="39">
    <w:abstractNumId w:val="36"/>
  </w:num>
  <w:num w:numId="40">
    <w:abstractNumId w:val="42"/>
  </w:num>
  <w:num w:numId="41">
    <w:abstractNumId w:val="28"/>
  </w:num>
  <w:num w:numId="42">
    <w:abstractNumId w:val="44"/>
  </w:num>
  <w:num w:numId="43">
    <w:abstractNumId w:val="16"/>
  </w:num>
  <w:num w:numId="44">
    <w:abstractNumId w:val="24"/>
  </w:num>
  <w:num w:numId="45">
    <w:abstractNumId w:val="3"/>
  </w:num>
  <w:num w:numId="46">
    <w:abstractNumId w:val="27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39D2"/>
    <w:rsid w:val="0000618C"/>
    <w:rsid w:val="00006B94"/>
    <w:rsid w:val="00007A3A"/>
    <w:rsid w:val="00012EF4"/>
    <w:rsid w:val="000177B9"/>
    <w:rsid w:val="00023F41"/>
    <w:rsid w:val="00034717"/>
    <w:rsid w:val="00035893"/>
    <w:rsid w:val="00036323"/>
    <w:rsid w:val="000377F6"/>
    <w:rsid w:val="000425AA"/>
    <w:rsid w:val="00044679"/>
    <w:rsid w:val="0004664D"/>
    <w:rsid w:val="000514B0"/>
    <w:rsid w:val="00053721"/>
    <w:rsid w:val="000541B9"/>
    <w:rsid w:val="000551C2"/>
    <w:rsid w:val="000558F9"/>
    <w:rsid w:val="00062095"/>
    <w:rsid w:val="0006567D"/>
    <w:rsid w:val="00065C0A"/>
    <w:rsid w:val="00067611"/>
    <w:rsid w:val="000706B7"/>
    <w:rsid w:val="00093596"/>
    <w:rsid w:val="000954E0"/>
    <w:rsid w:val="000A6325"/>
    <w:rsid w:val="000B448B"/>
    <w:rsid w:val="000B66F8"/>
    <w:rsid w:val="000B7C44"/>
    <w:rsid w:val="000C2239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22992"/>
    <w:rsid w:val="00136B73"/>
    <w:rsid w:val="00141F44"/>
    <w:rsid w:val="00143327"/>
    <w:rsid w:val="001436A4"/>
    <w:rsid w:val="00144221"/>
    <w:rsid w:val="001462D1"/>
    <w:rsid w:val="001501F6"/>
    <w:rsid w:val="00151722"/>
    <w:rsid w:val="001560F3"/>
    <w:rsid w:val="001621DF"/>
    <w:rsid w:val="00164D61"/>
    <w:rsid w:val="0016525C"/>
    <w:rsid w:val="00167CF4"/>
    <w:rsid w:val="00180A48"/>
    <w:rsid w:val="00183BC9"/>
    <w:rsid w:val="00194BA0"/>
    <w:rsid w:val="001C3A1E"/>
    <w:rsid w:val="001D0F28"/>
    <w:rsid w:val="001D4039"/>
    <w:rsid w:val="001D423D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24837"/>
    <w:rsid w:val="00226B28"/>
    <w:rsid w:val="00233C72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4469"/>
    <w:rsid w:val="00290667"/>
    <w:rsid w:val="00292FF2"/>
    <w:rsid w:val="002A507A"/>
    <w:rsid w:val="002A6D7A"/>
    <w:rsid w:val="002B02EB"/>
    <w:rsid w:val="002B1254"/>
    <w:rsid w:val="002B2A55"/>
    <w:rsid w:val="002C0172"/>
    <w:rsid w:val="002C01D7"/>
    <w:rsid w:val="002C15C4"/>
    <w:rsid w:val="002C53FB"/>
    <w:rsid w:val="002D4CE8"/>
    <w:rsid w:val="002E4FBD"/>
    <w:rsid w:val="002F217A"/>
    <w:rsid w:val="002F22F2"/>
    <w:rsid w:val="002F243F"/>
    <w:rsid w:val="003040DB"/>
    <w:rsid w:val="00311530"/>
    <w:rsid w:val="00314272"/>
    <w:rsid w:val="003223A9"/>
    <w:rsid w:val="003346FF"/>
    <w:rsid w:val="003367FF"/>
    <w:rsid w:val="003413CE"/>
    <w:rsid w:val="003521F6"/>
    <w:rsid w:val="0035305E"/>
    <w:rsid w:val="003559FF"/>
    <w:rsid w:val="003649BC"/>
    <w:rsid w:val="00364CC6"/>
    <w:rsid w:val="00365945"/>
    <w:rsid w:val="00370045"/>
    <w:rsid w:val="003727A7"/>
    <w:rsid w:val="00372D6B"/>
    <w:rsid w:val="00373664"/>
    <w:rsid w:val="00390D93"/>
    <w:rsid w:val="003947DF"/>
    <w:rsid w:val="00397945"/>
    <w:rsid w:val="003A2E6D"/>
    <w:rsid w:val="003A3C14"/>
    <w:rsid w:val="003A72FF"/>
    <w:rsid w:val="003B2CCC"/>
    <w:rsid w:val="003C671F"/>
    <w:rsid w:val="003D0004"/>
    <w:rsid w:val="003D13B2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45CDB"/>
    <w:rsid w:val="004472FB"/>
    <w:rsid w:val="00450FDB"/>
    <w:rsid w:val="00452494"/>
    <w:rsid w:val="00461A1C"/>
    <w:rsid w:val="00463561"/>
    <w:rsid w:val="004761C1"/>
    <w:rsid w:val="0048159F"/>
    <w:rsid w:val="0048174E"/>
    <w:rsid w:val="00483044"/>
    <w:rsid w:val="004864B3"/>
    <w:rsid w:val="00495BE9"/>
    <w:rsid w:val="00496D1A"/>
    <w:rsid w:val="004A3337"/>
    <w:rsid w:val="004A64D1"/>
    <w:rsid w:val="004B4110"/>
    <w:rsid w:val="004B61FF"/>
    <w:rsid w:val="004C10A7"/>
    <w:rsid w:val="004C4781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12F"/>
    <w:rsid w:val="00517956"/>
    <w:rsid w:val="00525E0C"/>
    <w:rsid w:val="005335CF"/>
    <w:rsid w:val="00534589"/>
    <w:rsid w:val="00535C91"/>
    <w:rsid w:val="005377D5"/>
    <w:rsid w:val="00541700"/>
    <w:rsid w:val="00545727"/>
    <w:rsid w:val="005533AB"/>
    <w:rsid w:val="00554C59"/>
    <w:rsid w:val="005559FD"/>
    <w:rsid w:val="00561188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6579"/>
    <w:rsid w:val="005B7CBA"/>
    <w:rsid w:val="005C524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5A5"/>
    <w:rsid w:val="006254EC"/>
    <w:rsid w:val="00626ED6"/>
    <w:rsid w:val="006422D7"/>
    <w:rsid w:val="006508D3"/>
    <w:rsid w:val="006569F2"/>
    <w:rsid w:val="00657998"/>
    <w:rsid w:val="006634B6"/>
    <w:rsid w:val="006664A3"/>
    <w:rsid w:val="00671D4B"/>
    <w:rsid w:val="006762A3"/>
    <w:rsid w:val="0068487A"/>
    <w:rsid w:val="00691852"/>
    <w:rsid w:val="00693FB4"/>
    <w:rsid w:val="006A08F4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6F7FF3"/>
    <w:rsid w:val="00717BF8"/>
    <w:rsid w:val="00725A07"/>
    <w:rsid w:val="007335A9"/>
    <w:rsid w:val="00734F45"/>
    <w:rsid w:val="0073595F"/>
    <w:rsid w:val="00743C7C"/>
    <w:rsid w:val="00747667"/>
    <w:rsid w:val="0074787B"/>
    <w:rsid w:val="0075437F"/>
    <w:rsid w:val="007620F7"/>
    <w:rsid w:val="007645CE"/>
    <w:rsid w:val="007712A3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B22BB"/>
    <w:rsid w:val="007B3FB8"/>
    <w:rsid w:val="007B5251"/>
    <w:rsid w:val="007B78C1"/>
    <w:rsid w:val="007C1D4B"/>
    <w:rsid w:val="007D07F4"/>
    <w:rsid w:val="007D5552"/>
    <w:rsid w:val="007D57C1"/>
    <w:rsid w:val="007E0C89"/>
    <w:rsid w:val="007E3851"/>
    <w:rsid w:val="007E3E16"/>
    <w:rsid w:val="007E55FE"/>
    <w:rsid w:val="007E754C"/>
    <w:rsid w:val="007F1F19"/>
    <w:rsid w:val="007F642C"/>
    <w:rsid w:val="00804240"/>
    <w:rsid w:val="00804F0B"/>
    <w:rsid w:val="00805720"/>
    <w:rsid w:val="008152D2"/>
    <w:rsid w:val="008153F4"/>
    <w:rsid w:val="00816498"/>
    <w:rsid w:val="00822296"/>
    <w:rsid w:val="008226CA"/>
    <w:rsid w:val="00830559"/>
    <w:rsid w:val="00833945"/>
    <w:rsid w:val="00845667"/>
    <w:rsid w:val="00845C94"/>
    <w:rsid w:val="00845D69"/>
    <w:rsid w:val="008519E0"/>
    <w:rsid w:val="008539E1"/>
    <w:rsid w:val="008546F1"/>
    <w:rsid w:val="00856316"/>
    <w:rsid w:val="00863EA9"/>
    <w:rsid w:val="00870657"/>
    <w:rsid w:val="00871C6D"/>
    <w:rsid w:val="00872EA7"/>
    <w:rsid w:val="008752EB"/>
    <w:rsid w:val="0087797E"/>
    <w:rsid w:val="0088766D"/>
    <w:rsid w:val="00892AD5"/>
    <w:rsid w:val="00894224"/>
    <w:rsid w:val="008942F5"/>
    <w:rsid w:val="008A0644"/>
    <w:rsid w:val="008A1B07"/>
    <w:rsid w:val="008A21CC"/>
    <w:rsid w:val="008A2348"/>
    <w:rsid w:val="008A348F"/>
    <w:rsid w:val="008B152A"/>
    <w:rsid w:val="008B2614"/>
    <w:rsid w:val="008C0B71"/>
    <w:rsid w:val="008C2B54"/>
    <w:rsid w:val="008C3739"/>
    <w:rsid w:val="008C3BDF"/>
    <w:rsid w:val="008C4B47"/>
    <w:rsid w:val="008C6797"/>
    <w:rsid w:val="008D003C"/>
    <w:rsid w:val="008D3F27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557"/>
    <w:rsid w:val="009276EA"/>
    <w:rsid w:val="00932074"/>
    <w:rsid w:val="00934FEF"/>
    <w:rsid w:val="00936E14"/>
    <w:rsid w:val="00940601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93190"/>
    <w:rsid w:val="00996B69"/>
    <w:rsid w:val="009A00BF"/>
    <w:rsid w:val="009A021A"/>
    <w:rsid w:val="009A0A41"/>
    <w:rsid w:val="009A2479"/>
    <w:rsid w:val="009A515B"/>
    <w:rsid w:val="009B1463"/>
    <w:rsid w:val="009B3C88"/>
    <w:rsid w:val="009B6732"/>
    <w:rsid w:val="009C7779"/>
    <w:rsid w:val="009D31DF"/>
    <w:rsid w:val="009D3478"/>
    <w:rsid w:val="009D743B"/>
    <w:rsid w:val="009D7F90"/>
    <w:rsid w:val="009F6627"/>
    <w:rsid w:val="009F6FFA"/>
    <w:rsid w:val="00A00338"/>
    <w:rsid w:val="00A00984"/>
    <w:rsid w:val="00A03E57"/>
    <w:rsid w:val="00A07ADC"/>
    <w:rsid w:val="00A1193D"/>
    <w:rsid w:val="00A11A19"/>
    <w:rsid w:val="00A13392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62D1E"/>
    <w:rsid w:val="00A639AC"/>
    <w:rsid w:val="00A7309B"/>
    <w:rsid w:val="00A75AB7"/>
    <w:rsid w:val="00A849D0"/>
    <w:rsid w:val="00A91C10"/>
    <w:rsid w:val="00AB2151"/>
    <w:rsid w:val="00AC2B79"/>
    <w:rsid w:val="00AD0A71"/>
    <w:rsid w:val="00AE4DE8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0A81"/>
    <w:rsid w:val="00B22AFA"/>
    <w:rsid w:val="00B241D3"/>
    <w:rsid w:val="00B2431E"/>
    <w:rsid w:val="00B245C2"/>
    <w:rsid w:val="00B30446"/>
    <w:rsid w:val="00B3338A"/>
    <w:rsid w:val="00B33791"/>
    <w:rsid w:val="00B35524"/>
    <w:rsid w:val="00B40EF3"/>
    <w:rsid w:val="00B41BBB"/>
    <w:rsid w:val="00B47535"/>
    <w:rsid w:val="00B502C3"/>
    <w:rsid w:val="00B541C0"/>
    <w:rsid w:val="00B62220"/>
    <w:rsid w:val="00B70940"/>
    <w:rsid w:val="00B71765"/>
    <w:rsid w:val="00B748C6"/>
    <w:rsid w:val="00B818B7"/>
    <w:rsid w:val="00B8209D"/>
    <w:rsid w:val="00B82EAF"/>
    <w:rsid w:val="00B8495A"/>
    <w:rsid w:val="00B84A3F"/>
    <w:rsid w:val="00B8563D"/>
    <w:rsid w:val="00B930C0"/>
    <w:rsid w:val="00B935FA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43C"/>
    <w:rsid w:val="00BF16CE"/>
    <w:rsid w:val="00BF53DE"/>
    <w:rsid w:val="00C04F42"/>
    <w:rsid w:val="00C114AD"/>
    <w:rsid w:val="00C1532E"/>
    <w:rsid w:val="00C266DF"/>
    <w:rsid w:val="00C3171E"/>
    <w:rsid w:val="00C366D3"/>
    <w:rsid w:val="00C37A52"/>
    <w:rsid w:val="00C42313"/>
    <w:rsid w:val="00C437C1"/>
    <w:rsid w:val="00C46EDD"/>
    <w:rsid w:val="00C471B4"/>
    <w:rsid w:val="00C50FED"/>
    <w:rsid w:val="00C549ED"/>
    <w:rsid w:val="00C57C61"/>
    <w:rsid w:val="00C6196A"/>
    <w:rsid w:val="00C70AFC"/>
    <w:rsid w:val="00C80782"/>
    <w:rsid w:val="00C80BC1"/>
    <w:rsid w:val="00C81EC1"/>
    <w:rsid w:val="00C84E1E"/>
    <w:rsid w:val="00C8705D"/>
    <w:rsid w:val="00C91795"/>
    <w:rsid w:val="00C9264D"/>
    <w:rsid w:val="00C9319D"/>
    <w:rsid w:val="00C93581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4717"/>
    <w:rsid w:val="00CB596B"/>
    <w:rsid w:val="00CB6348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476A"/>
    <w:rsid w:val="00CE6346"/>
    <w:rsid w:val="00CE6BBC"/>
    <w:rsid w:val="00CF3BE1"/>
    <w:rsid w:val="00CF5B69"/>
    <w:rsid w:val="00D002EC"/>
    <w:rsid w:val="00D0291C"/>
    <w:rsid w:val="00D06C74"/>
    <w:rsid w:val="00D24E53"/>
    <w:rsid w:val="00D258B3"/>
    <w:rsid w:val="00D259CD"/>
    <w:rsid w:val="00D260D9"/>
    <w:rsid w:val="00D278A4"/>
    <w:rsid w:val="00D27DB6"/>
    <w:rsid w:val="00D33DA2"/>
    <w:rsid w:val="00D36530"/>
    <w:rsid w:val="00D438A0"/>
    <w:rsid w:val="00D463F3"/>
    <w:rsid w:val="00D464F6"/>
    <w:rsid w:val="00D46EA7"/>
    <w:rsid w:val="00D51030"/>
    <w:rsid w:val="00D519A0"/>
    <w:rsid w:val="00D51FCF"/>
    <w:rsid w:val="00D66333"/>
    <w:rsid w:val="00D73980"/>
    <w:rsid w:val="00D75286"/>
    <w:rsid w:val="00D80FE1"/>
    <w:rsid w:val="00D82274"/>
    <w:rsid w:val="00D850B2"/>
    <w:rsid w:val="00D85FE0"/>
    <w:rsid w:val="00D86DF1"/>
    <w:rsid w:val="00D94841"/>
    <w:rsid w:val="00DA35CB"/>
    <w:rsid w:val="00DA35E7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E0D1F"/>
    <w:rsid w:val="00DE4C61"/>
    <w:rsid w:val="00DE6622"/>
    <w:rsid w:val="00DE7AB6"/>
    <w:rsid w:val="00DF10F0"/>
    <w:rsid w:val="00DF3235"/>
    <w:rsid w:val="00DF499D"/>
    <w:rsid w:val="00DF6666"/>
    <w:rsid w:val="00DF7EDB"/>
    <w:rsid w:val="00E026EC"/>
    <w:rsid w:val="00E035DC"/>
    <w:rsid w:val="00E052CF"/>
    <w:rsid w:val="00E10165"/>
    <w:rsid w:val="00E11D27"/>
    <w:rsid w:val="00E1628C"/>
    <w:rsid w:val="00E16371"/>
    <w:rsid w:val="00E16AD2"/>
    <w:rsid w:val="00E17792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92A13"/>
    <w:rsid w:val="00EA0CC3"/>
    <w:rsid w:val="00EA220D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AB6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732"/>
    <w:rsid w:val="00F11B9A"/>
    <w:rsid w:val="00F2293B"/>
    <w:rsid w:val="00F26FC2"/>
    <w:rsid w:val="00F2726E"/>
    <w:rsid w:val="00F366D6"/>
    <w:rsid w:val="00F4269C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2C34"/>
    <w:rsid w:val="00FB3121"/>
    <w:rsid w:val="00FB4EDF"/>
    <w:rsid w:val="00FC1C5E"/>
    <w:rsid w:val="00FC2C5F"/>
    <w:rsid w:val="00FC386C"/>
    <w:rsid w:val="00FC3878"/>
    <w:rsid w:val="00FC5DE1"/>
    <w:rsid w:val="00FD64B3"/>
    <w:rsid w:val="00FE28C3"/>
    <w:rsid w:val="00FF0977"/>
    <w:rsid w:val="00FF1257"/>
    <w:rsid w:val="00FF16CE"/>
    <w:rsid w:val="00FF3627"/>
    <w:rsid w:val="00FF394F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B3FB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B3FB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B3FB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B3FB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B3FB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E4F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B3FB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B3FB8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50FED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2E4F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50FED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4F32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0FE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4F32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C50FED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0FED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4F3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3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7B3FB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B3FB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B3FB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B3FB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B3FB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B3F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B3FB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B3FB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27</Pages>
  <Words>7407</Words>
  <Characters>-32766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2015-09-23T02:00:00Z</cp:lastPrinted>
  <dcterms:created xsi:type="dcterms:W3CDTF">2015-10-02T05:13:00Z</dcterms:created>
  <dcterms:modified xsi:type="dcterms:W3CDTF">2015-10-05T08:10:00Z</dcterms:modified>
</cp:coreProperties>
</file>