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sz w:val="24"/>
        </w:rPr>
      </w:pPr>
      <w:r>
        <w:rPr>
          <w:sz w:val="18"/>
        </w:rPr>
        <w:tab/>
      </w:r>
      <w:r>
        <w:rPr>
          <w:sz w:val="24"/>
        </w:rPr>
        <w:t xml:space="preserve">Приложение № 1 </w:t>
      </w:r>
    </w:p>
    <w:p w14:paraId="02000000">
      <w:pPr>
        <w:widowControl w:val="1"/>
        <w:ind/>
        <w:jc w:val="right"/>
        <w:rPr>
          <w:sz w:val="24"/>
        </w:rPr>
      </w:pPr>
      <w:r>
        <w:rPr>
          <w:sz w:val="24"/>
        </w:rPr>
        <w:t>к Постановлению администрации</w:t>
      </w:r>
    </w:p>
    <w:p w14:paraId="03000000">
      <w:pPr>
        <w:widowControl w:val="1"/>
        <w:tabs>
          <w:tab w:leader="none" w:pos="8520" w:val="left"/>
        </w:tabs>
        <w:ind/>
        <w:jc w:val="right"/>
        <w:rPr>
          <w:sz w:val="24"/>
        </w:rPr>
      </w:pPr>
      <w:r>
        <w:rPr>
          <w:sz w:val="24"/>
        </w:rPr>
        <w:t>Крапивинского муниципального округа</w:t>
      </w:r>
    </w:p>
    <w:p w14:paraId="04000000">
      <w:pPr>
        <w:widowControl w:val="1"/>
        <w:tabs>
          <w:tab w:leader="none" w:pos="8520" w:val="left"/>
        </w:tabs>
        <w:ind/>
        <w:jc w:val="right"/>
        <w:rPr>
          <w:sz w:val="24"/>
        </w:rPr>
      </w:pPr>
      <w:r>
        <w:rPr>
          <w:sz w:val="24"/>
        </w:rPr>
        <w:t>О</w:t>
      </w:r>
      <w:r>
        <w:rPr>
          <w:sz w:val="24"/>
        </w:rPr>
        <w:t>т</w:t>
      </w:r>
      <w:r>
        <w:rPr>
          <w:sz w:val="24"/>
        </w:rPr>
        <w:t xml:space="preserve"> 11.09.2026 </w:t>
      </w:r>
      <w:r>
        <w:rPr>
          <w:sz w:val="24"/>
        </w:rPr>
        <w:t>№</w:t>
      </w:r>
      <w:r>
        <w:rPr>
          <w:sz w:val="24"/>
        </w:rPr>
        <w:t xml:space="preserve"> 929</w:t>
      </w:r>
    </w:p>
    <w:p w14:paraId="05000000">
      <w:pPr>
        <w:rPr>
          <w:sz w:val="18"/>
        </w:rPr>
      </w:pPr>
    </w:p>
    <w:p w14:paraId="06000000">
      <w:pPr>
        <w:rPr>
          <w:sz w:val="18"/>
        </w:rPr>
      </w:pP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орядок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государственного учета и паспортизации захоронений</w:t>
      </w:r>
    </w:p>
    <w:p w14:paraId="09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останков жертв геноцида советского народа в период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еликой</w:t>
      </w:r>
    </w:p>
    <w:p w14:paraId="0A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течественной войны 1941 - 1945 годов, ведения </w:t>
      </w:r>
    </w:p>
    <w:p w14:paraId="0B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централизованного учета захоронений останков жертв</w:t>
      </w:r>
    </w:p>
    <w:p w14:paraId="0C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геноцида советского народа в период </w:t>
      </w:r>
      <w:r>
        <w:rPr>
          <w:rFonts w:ascii="Times New Roman" w:hAnsi="Times New Roman"/>
          <w:sz w:val="28"/>
        </w:rPr>
        <w:t>Великой О</w:t>
      </w:r>
      <w:r>
        <w:rPr>
          <w:rFonts w:ascii="Times New Roman" w:hAnsi="Times New Roman"/>
          <w:sz w:val="28"/>
        </w:rPr>
        <w:t>течественной</w:t>
      </w:r>
    </w:p>
    <w:p w14:paraId="0D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войны 1941 - 1945 годов, а также формирования поименных</w:t>
      </w:r>
    </w:p>
    <w:p w14:paraId="0E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списков жертв геноцида советского народа в период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еликой</w:t>
      </w:r>
    </w:p>
    <w:p w14:paraId="0F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течественной войны 1941 - 1945 годов</w:t>
      </w:r>
      <w:r>
        <w:rPr>
          <w:rFonts w:ascii="Times New Roman" w:hAnsi="Times New Roman"/>
          <w:sz w:val="28"/>
        </w:rPr>
        <w:t xml:space="preserve"> на территории Крапивинского муниципального округа </w:t>
      </w:r>
    </w:p>
    <w:p w14:paraId="10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11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 территории Крапивинского муниципального округа государственный учет захоронений останков жертв геноцида советского народа в период Великой Отечественной войны 1941 - 1945 годов (далее соответственно - захоронения, геноцид советского народа) ведется администрацией Крапивинского муниципального округа.</w:t>
      </w:r>
    </w:p>
    <w:p w14:paraId="12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Централизованный учет захоронений и формирование поименных списков жертв геноцида советского народа ведется администрацией Крапивинского муниципального округа.</w:t>
      </w:r>
    </w:p>
    <w:p w14:paraId="13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 целью государственного учета захоронений администрация Крапивинского муниципального округа осуществляет:</w:t>
      </w:r>
    </w:p>
    <w:p w14:paraId="14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сбор сведений, необходимых для составления паспорта на каждое захоронение (далее - паспорт захоронения), в соответствии с 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"file:///D:/Перенос/Рабочий%20стол/ирина/Постановления/2026/захоронения%20геноцид/Приложение%20образец.docx#P66"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пунктом 4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настоящего Порядка;</w:t>
      </w:r>
    </w:p>
    <w:p w14:paraId="15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фотографирование захоронения, определение состояния захоронения, составление описания памятного знака (при наличии);</w:t>
      </w:r>
    </w:p>
    <w:p w14:paraId="16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составление паспорта захоронения, актуализацию содержащихся в нем сведений;</w:t>
      </w:r>
    </w:p>
    <w:p w14:paraId="17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направление паспорта захоронения национальному оператору.</w:t>
      </w:r>
    </w:p>
    <w:p w14:paraId="18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1" w:name="P66"/>
      <w:bookmarkEnd w:id="1"/>
      <w:r>
        <w:rPr>
          <w:rFonts w:ascii="Times New Roman" w:hAnsi="Times New Roman"/>
          <w:sz w:val="28"/>
        </w:rPr>
        <w:t>4. Необходимые для составления паспорта захоронения сведения являются результатом:</w:t>
      </w:r>
    </w:p>
    <w:p w14:paraId="19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проведения поисковой работы общественно-государственными объединениями, общественными объединениями, уполномоченными на проведение такой работы (далее - объединения);</w:t>
      </w:r>
    </w:p>
    <w:p w14:paraId="1A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проведения натурных обследований захоронений;</w:t>
      </w:r>
    </w:p>
    <w:p w14:paraId="1B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взаимодействия администрации Крапивинского муниципального округа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оператором.</w:t>
      </w:r>
    </w:p>
    <w:p w14:paraId="1C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Паспортизация захоронения останков жертв геноцида советского народа осуществляется путем составления паспорта захоронения останков жертв геноцида советского народа в период Великой Отечественной войны 1941 - 1945 годов в двух экземплярах на бумажном носителе (рекомендуемый образец приведен в 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"file:///D:/Перенос/Рабочий%20стол/ирина/Постановления/2026/захоронения%20геноцид/Приложение%20образец.docx#P134"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приложении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к настоящему Порядку).</w:t>
      </w:r>
    </w:p>
    <w:p w14:paraId="1D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2" w:name="P77"/>
      <w:bookmarkEnd w:id="2"/>
      <w:r>
        <w:rPr>
          <w:rFonts w:ascii="Times New Roman" w:hAnsi="Times New Roman"/>
          <w:sz w:val="28"/>
        </w:rPr>
        <w:t xml:space="preserve">6. В целях составления паспорта захоронения администрацией Крапивинского муниципального округа в течение 15 рабочих дней со дня окончания работ по захоронению (перезахоронению) останков жертв геноцида советского народа направляется запрос посредством почтового отправления с уведомлением о вручении или в электронной форме о представлении сведений, указанных в 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"file:///D:/Перенос/Рабочий%20стол/ирина/Постановления/2026/захоронения%20геноцид/Приложение%20образец.docx#P79"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пункте 8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настоящего Порядка, органам государственной власти Российской Федерации и национальному оператору.</w:t>
      </w:r>
    </w:p>
    <w:p w14:paraId="1E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bookmarkStart w:id="3" w:name="P79"/>
      <w:bookmarkEnd w:id="3"/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При составлении паспорта захоронения указываются полученные в соответствии с 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"file:///D:/Перенос/Рабочий%20стол/ирина/Постановления/2026/захоронения%20геноцид/Приложение%20образец.docx#P77"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пунктом 6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настоящего Порядка сведения о субъекте Российской Федерации, об адресе места захоронения, о координатах центральной точки места захоронения в геодезической системе координат 2011 года (ГСК-2011), кадастровом номере земельного участка, на котором расположено место захоронения, виде захоронения (братские, индивидуальные могилы на общих кладбищах и вне кладбищ, колумбарии и урны), размерах захоронения, об описании памятного знака, о количестве захороненных, сведения о захороненных (фамилия, имя, отчество (при наличии), дата рождения, дата гибели (смерти), номер участка, номер братской могилы, адрес предыдущего места захоронения (при наличии), состояние захоронения, дополнительная информация о захоронении (при наличии), а также фотографии захоронения.</w:t>
      </w:r>
    </w:p>
    <w:p w14:paraId="1F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Составление паспорта захоронения на территории Крапивинского муниципального округа осуществляется администрацией Крапивинского муниципального округа в течение шести месяцев со дня окончания работ по захоронению (перезахоронению).</w:t>
      </w:r>
    </w:p>
    <w:p w14:paraId="20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 Новый паспорт захоронения составляется администрацией Крапивинского муниципального округа в течение 30 календарных дней со дня возникновения следующих изменений:</w:t>
      </w:r>
    </w:p>
    <w:p w14:paraId="21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перемещение, восстановление захоронения;</w:t>
      </w:r>
    </w:p>
    <w:p w14:paraId="22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перезахоронение, а также захоронение в нем вновь обнаруженных останков жертв геноцида советского народа;</w:t>
      </w:r>
    </w:p>
    <w:p w14:paraId="23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установление ранее неизвестных имен жертв геноцида советского народа.</w:t>
      </w:r>
    </w:p>
    <w:p w14:paraId="24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 Один экземпляр паспорта захоронения хранится в администрации Крапивинского муниципального округа, второй экземпляр направляется национальному оператору для постановки захоронения на централизованный учет.</w:t>
      </w:r>
    </w:p>
    <w:p w14:paraId="25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Сведения о постановке захоронения на централизованный учет направляются администрацией Крапивинского муниципального округа посредством почтового отправления с уведомлением о вручении или в электронной форме в уполномоченный орган государственной власти субъекта Российской Федерации по увековечению памяти жертв геноцида советского народа не позднее 10 рабочих дней со дня постановки захоронения на централизованный учет.</w:t>
      </w:r>
    </w:p>
    <w:p w14:paraId="26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Формирование администрацией Крапивинского муниципального округа поименных списков осуществляется на основании персональных карточек в электронном виде. Персональная карточка составляется в отношении захороненных или не имеющих захоронений жертв геноцида советского народа, погибших на территории Крапивинского муниципального округа.</w:t>
      </w:r>
    </w:p>
    <w:p w14:paraId="27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поступлении в администрацию Крапивинского муниципального округа новых документов, подтверждающих ранее неизвестные сведения о лице, персональная карточка подлежит актуализации.</w:t>
      </w:r>
    </w:p>
    <w:p w14:paraId="28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составлении и актуализации персональных карточек администрацией Крапивинского муниципального округа используются списки установленных имен жертв геноцида советского народа, составленные объединением.</w:t>
      </w:r>
    </w:p>
    <w:p w14:paraId="29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Поименные списки ведутся администрацией Крапивинского муниципального округа в электронной форме и подлежат систематизации по следующим основаниям:</w:t>
      </w:r>
    </w:p>
    <w:p w14:paraId="2A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алфавитном порядке по фамилии, имени, отчеству (при наличии) жертв геноцида советского народа;</w:t>
      </w:r>
    </w:p>
    <w:p w14:paraId="2B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 месту захоронения с указанием географических координат и адреса места захоронения (при наличии);</w:t>
      </w:r>
    </w:p>
    <w:p w14:paraId="2C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по дате включения сведений в поименные списки.</w:t>
      </w:r>
    </w:p>
    <w:p w14:paraId="2D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Сформированные и актуализированные поименные списки подлежат опубликованию администрацией Крапивинского муниципального округа в электронной форме в информационно-телекоммуникационной сети "Интернет" на официальном сайте.</w:t>
      </w:r>
    </w:p>
    <w:p w14:paraId="2E000000">
      <w:pPr>
        <w:widowControl w:val="1"/>
        <w:ind w:firstLine="709"/>
        <w:rPr>
          <w:sz w:val="18"/>
        </w:rPr>
      </w:pPr>
    </w:p>
    <w:p w14:paraId="2F000000">
      <w:pPr>
        <w:widowControl w:val="1"/>
        <w:ind w:firstLine="709"/>
        <w:rPr>
          <w:sz w:val="18"/>
        </w:rPr>
      </w:pPr>
    </w:p>
    <w:p w14:paraId="30000000">
      <w:pPr>
        <w:widowControl w:val="1"/>
        <w:ind w:firstLine="709"/>
        <w:rPr>
          <w:sz w:val="18"/>
        </w:rPr>
      </w:pPr>
    </w:p>
    <w:p w14:paraId="31000000">
      <w:pPr>
        <w:widowControl w:val="1"/>
        <w:ind w:firstLine="709"/>
        <w:rPr>
          <w:sz w:val="18"/>
        </w:rPr>
      </w:pPr>
    </w:p>
    <w:p w14:paraId="32000000">
      <w:pPr>
        <w:widowControl w:val="1"/>
        <w:ind w:firstLine="709"/>
        <w:rPr>
          <w:sz w:val="18"/>
        </w:rPr>
      </w:pPr>
    </w:p>
    <w:p w14:paraId="33000000">
      <w:pPr>
        <w:widowControl w:val="1"/>
        <w:ind w:firstLine="709"/>
        <w:rPr>
          <w:sz w:val="18"/>
        </w:rPr>
      </w:pPr>
    </w:p>
    <w:p w14:paraId="34000000">
      <w:pPr>
        <w:widowControl w:val="1"/>
        <w:ind w:firstLine="709"/>
        <w:rPr>
          <w:sz w:val="18"/>
        </w:rPr>
      </w:pPr>
    </w:p>
    <w:p w14:paraId="35000000">
      <w:pPr>
        <w:widowControl w:val="1"/>
        <w:ind w:firstLine="709"/>
        <w:rPr>
          <w:sz w:val="18"/>
        </w:rPr>
      </w:pPr>
    </w:p>
    <w:p w14:paraId="36000000">
      <w:pPr>
        <w:widowControl w:val="1"/>
        <w:ind w:firstLine="709"/>
        <w:rPr>
          <w:sz w:val="18"/>
        </w:rPr>
      </w:pPr>
    </w:p>
    <w:p w14:paraId="37000000">
      <w:pPr>
        <w:widowControl w:val="1"/>
        <w:ind w:firstLine="709"/>
        <w:rPr>
          <w:sz w:val="18"/>
        </w:rPr>
      </w:pPr>
    </w:p>
    <w:p w14:paraId="38000000">
      <w:pPr>
        <w:widowControl w:val="1"/>
        <w:ind w:firstLine="709"/>
        <w:rPr>
          <w:sz w:val="18"/>
        </w:rPr>
      </w:pPr>
    </w:p>
    <w:p w14:paraId="39000000">
      <w:pPr>
        <w:widowControl w:val="1"/>
        <w:ind w:firstLine="709"/>
        <w:rPr>
          <w:sz w:val="18"/>
        </w:rPr>
      </w:pPr>
    </w:p>
    <w:p w14:paraId="3A000000">
      <w:pPr>
        <w:widowControl w:val="1"/>
        <w:ind w:firstLine="709"/>
        <w:rPr>
          <w:sz w:val="18"/>
        </w:rPr>
      </w:pPr>
    </w:p>
    <w:p w14:paraId="3B000000">
      <w:pPr>
        <w:widowControl w:val="1"/>
        <w:ind w:firstLine="709"/>
        <w:rPr>
          <w:sz w:val="18"/>
        </w:rPr>
      </w:pPr>
    </w:p>
    <w:p w14:paraId="3C000000">
      <w:pPr>
        <w:widowControl w:val="1"/>
        <w:ind w:firstLine="709"/>
        <w:rPr>
          <w:sz w:val="18"/>
        </w:rPr>
      </w:pPr>
    </w:p>
    <w:p w14:paraId="3D000000">
      <w:pPr>
        <w:widowControl w:val="1"/>
        <w:ind w:firstLine="709"/>
        <w:rPr>
          <w:sz w:val="18"/>
        </w:rPr>
      </w:pPr>
    </w:p>
    <w:p w14:paraId="3E000000">
      <w:pPr>
        <w:widowControl w:val="1"/>
        <w:ind w:firstLine="709"/>
        <w:rPr>
          <w:sz w:val="18"/>
        </w:rPr>
      </w:pPr>
    </w:p>
    <w:p w14:paraId="3F000000">
      <w:pPr>
        <w:widowControl w:val="1"/>
        <w:ind w:firstLine="709"/>
        <w:rPr>
          <w:sz w:val="18"/>
        </w:rPr>
      </w:pPr>
    </w:p>
    <w:p w14:paraId="40000000">
      <w:pPr>
        <w:widowControl w:val="1"/>
        <w:ind w:firstLine="709"/>
        <w:rPr>
          <w:sz w:val="18"/>
        </w:rPr>
      </w:pPr>
    </w:p>
    <w:p w14:paraId="41000000">
      <w:pPr>
        <w:widowControl w:val="1"/>
        <w:ind w:firstLine="709"/>
        <w:rPr>
          <w:sz w:val="18"/>
        </w:rPr>
      </w:pPr>
    </w:p>
    <w:p w14:paraId="42000000">
      <w:pPr>
        <w:widowControl w:val="1"/>
        <w:ind w:firstLine="709"/>
        <w:rPr>
          <w:sz w:val="18"/>
        </w:rPr>
      </w:pPr>
    </w:p>
    <w:p w14:paraId="43000000">
      <w:pPr>
        <w:widowControl w:val="1"/>
        <w:ind w:firstLine="709"/>
        <w:rPr>
          <w:sz w:val="18"/>
        </w:rPr>
      </w:pPr>
    </w:p>
    <w:p w14:paraId="44000000">
      <w:pPr>
        <w:widowControl w:val="1"/>
        <w:ind w:firstLine="709"/>
        <w:rPr>
          <w:sz w:val="18"/>
        </w:rPr>
      </w:pPr>
    </w:p>
    <w:p w14:paraId="45000000">
      <w:pPr>
        <w:widowControl w:val="1"/>
        <w:ind w:firstLine="709"/>
        <w:rPr>
          <w:sz w:val="18"/>
        </w:rPr>
      </w:pPr>
    </w:p>
    <w:p w14:paraId="46000000">
      <w:pPr>
        <w:widowControl w:val="1"/>
        <w:ind w:firstLine="709"/>
        <w:rPr>
          <w:sz w:val="18"/>
        </w:rPr>
      </w:pPr>
    </w:p>
    <w:p w14:paraId="47000000">
      <w:pPr>
        <w:widowControl w:val="1"/>
        <w:ind w:firstLine="709"/>
        <w:rPr>
          <w:sz w:val="18"/>
        </w:rPr>
      </w:pPr>
    </w:p>
    <w:p w14:paraId="48000000">
      <w:pPr>
        <w:widowControl w:val="1"/>
        <w:ind w:firstLine="709"/>
        <w:rPr>
          <w:sz w:val="18"/>
        </w:rPr>
      </w:pPr>
    </w:p>
    <w:p w14:paraId="49000000">
      <w:pPr>
        <w:widowControl w:val="1"/>
        <w:ind w:firstLine="709"/>
        <w:rPr>
          <w:sz w:val="18"/>
        </w:rPr>
      </w:pPr>
    </w:p>
    <w:p w14:paraId="4A000000">
      <w:pPr>
        <w:widowControl w:val="1"/>
        <w:ind w:firstLine="709"/>
        <w:rPr>
          <w:sz w:val="18"/>
        </w:rPr>
      </w:pPr>
    </w:p>
    <w:p w14:paraId="4B000000">
      <w:pPr>
        <w:widowControl w:val="1"/>
        <w:ind w:firstLine="709"/>
        <w:rPr>
          <w:sz w:val="18"/>
        </w:rPr>
      </w:pPr>
    </w:p>
    <w:p w14:paraId="4C000000">
      <w:pPr>
        <w:widowControl w:val="1"/>
        <w:ind w:firstLine="709"/>
        <w:rPr>
          <w:sz w:val="18"/>
        </w:rPr>
      </w:pPr>
    </w:p>
    <w:p w14:paraId="4D000000">
      <w:pPr>
        <w:widowControl w:val="1"/>
        <w:ind w:firstLine="709"/>
        <w:rPr>
          <w:sz w:val="18"/>
        </w:rPr>
      </w:pPr>
    </w:p>
    <w:p w14:paraId="4E000000">
      <w:pPr>
        <w:widowControl w:val="1"/>
        <w:ind w:firstLine="709"/>
        <w:rPr>
          <w:sz w:val="18"/>
        </w:rPr>
      </w:pPr>
    </w:p>
    <w:p w14:paraId="4F000000">
      <w:pPr>
        <w:widowControl w:val="1"/>
        <w:ind w:firstLine="709"/>
        <w:rPr>
          <w:sz w:val="18"/>
        </w:rPr>
      </w:pPr>
    </w:p>
    <w:p w14:paraId="50000000">
      <w:pPr>
        <w:widowControl w:val="1"/>
        <w:ind w:firstLine="709"/>
        <w:rPr>
          <w:sz w:val="18"/>
        </w:rPr>
      </w:pPr>
    </w:p>
    <w:p w14:paraId="51000000">
      <w:pPr>
        <w:widowControl w:val="1"/>
        <w:ind w:firstLine="709"/>
        <w:rPr>
          <w:sz w:val="18"/>
        </w:rPr>
      </w:pPr>
    </w:p>
    <w:p w14:paraId="52000000">
      <w:pPr>
        <w:widowControl w:val="1"/>
        <w:ind w:firstLine="709"/>
        <w:rPr>
          <w:sz w:val="18"/>
        </w:rPr>
      </w:pPr>
    </w:p>
    <w:p w14:paraId="53000000">
      <w:pPr>
        <w:widowControl w:val="1"/>
        <w:ind w:firstLine="709"/>
        <w:rPr>
          <w:sz w:val="18"/>
        </w:rPr>
      </w:pPr>
    </w:p>
    <w:p w14:paraId="54000000">
      <w:pPr>
        <w:widowControl w:val="1"/>
        <w:ind w:firstLine="709"/>
        <w:rPr>
          <w:sz w:val="18"/>
        </w:rPr>
      </w:pPr>
    </w:p>
    <w:p w14:paraId="55000000">
      <w:pPr>
        <w:widowControl w:val="1"/>
        <w:ind w:firstLine="709"/>
        <w:rPr>
          <w:sz w:val="18"/>
        </w:rPr>
      </w:pPr>
    </w:p>
    <w:p w14:paraId="56000000">
      <w:pPr>
        <w:widowControl w:val="1"/>
        <w:ind w:firstLine="709"/>
        <w:rPr>
          <w:sz w:val="18"/>
        </w:rPr>
      </w:pPr>
    </w:p>
    <w:p w14:paraId="57000000">
      <w:pPr>
        <w:widowControl w:val="1"/>
        <w:ind w:firstLine="709"/>
        <w:rPr>
          <w:sz w:val="18"/>
        </w:rPr>
      </w:pPr>
    </w:p>
    <w:p w14:paraId="58000000">
      <w:pPr>
        <w:widowControl w:val="1"/>
        <w:ind w:firstLine="709"/>
        <w:rPr>
          <w:sz w:val="18"/>
        </w:rPr>
      </w:pPr>
    </w:p>
    <w:p w14:paraId="59000000">
      <w:pPr>
        <w:widowControl w:val="1"/>
        <w:ind w:firstLine="709"/>
        <w:rPr>
          <w:sz w:val="18"/>
        </w:rPr>
      </w:pPr>
    </w:p>
    <w:p w14:paraId="5A000000">
      <w:pPr>
        <w:widowControl w:val="1"/>
        <w:ind w:firstLine="709"/>
        <w:rPr>
          <w:sz w:val="18"/>
        </w:rPr>
      </w:pPr>
    </w:p>
    <w:p w14:paraId="5B000000">
      <w:pPr>
        <w:widowControl w:val="1"/>
        <w:ind w:firstLine="709"/>
        <w:rPr>
          <w:sz w:val="18"/>
        </w:rPr>
      </w:pPr>
    </w:p>
    <w:p w14:paraId="5C000000">
      <w:pPr>
        <w:widowControl w:val="1"/>
        <w:ind w:firstLine="709"/>
        <w:rPr>
          <w:sz w:val="18"/>
        </w:rPr>
      </w:pPr>
    </w:p>
    <w:p w14:paraId="5D000000">
      <w:pPr>
        <w:widowControl w:val="1"/>
        <w:ind w:firstLine="709"/>
        <w:rPr>
          <w:sz w:val="18"/>
        </w:rPr>
      </w:pPr>
    </w:p>
    <w:p w14:paraId="5E000000">
      <w:pPr>
        <w:widowControl w:val="1"/>
        <w:ind w:firstLine="709"/>
        <w:rPr>
          <w:sz w:val="18"/>
        </w:rPr>
      </w:pPr>
    </w:p>
    <w:p w14:paraId="5F000000">
      <w:pPr>
        <w:widowControl w:val="1"/>
        <w:ind w:firstLine="709"/>
        <w:rPr>
          <w:sz w:val="18"/>
        </w:rPr>
      </w:pPr>
    </w:p>
    <w:p w14:paraId="60000000">
      <w:pPr>
        <w:widowControl w:val="1"/>
        <w:ind w:firstLine="709"/>
        <w:rPr>
          <w:sz w:val="18"/>
        </w:rPr>
      </w:pPr>
    </w:p>
    <w:p w14:paraId="61000000">
      <w:pPr>
        <w:widowControl w:val="1"/>
        <w:ind w:firstLine="709"/>
        <w:rPr>
          <w:sz w:val="18"/>
        </w:rPr>
      </w:pPr>
    </w:p>
    <w:p w14:paraId="62000000">
      <w:pPr>
        <w:widowControl w:val="1"/>
        <w:ind w:firstLine="709"/>
        <w:rPr>
          <w:sz w:val="18"/>
        </w:rPr>
      </w:pPr>
    </w:p>
    <w:p w14:paraId="63000000">
      <w:pPr>
        <w:widowControl w:val="1"/>
        <w:ind w:firstLine="709"/>
        <w:rPr>
          <w:sz w:val="18"/>
        </w:rPr>
      </w:pPr>
    </w:p>
    <w:p w14:paraId="64000000">
      <w:pPr>
        <w:widowControl w:val="1"/>
        <w:ind w:firstLine="709"/>
        <w:rPr>
          <w:sz w:val="18"/>
        </w:rPr>
      </w:pPr>
    </w:p>
    <w:p w14:paraId="65000000">
      <w:pPr>
        <w:widowControl w:val="1"/>
        <w:ind w:firstLine="709"/>
        <w:rPr>
          <w:sz w:val="18"/>
        </w:rPr>
      </w:pPr>
    </w:p>
    <w:p w14:paraId="66000000">
      <w:pPr>
        <w:widowControl w:val="1"/>
        <w:ind w:firstLine="709"/>
        <w:rPr>
          <w:sz w:val="18"/>
        </w:rPr>
      </w:pPr>
    </w:p>
    <w:p w14:paraId="67000000">
      <w:pPr>
        <w:widowControl w:val="1"/>
        <w:ind w:firstLine="709"/>
        <w:rPr>
          <w:sz w:val="18"/>
        </w:rPr>
      </w:pPr>
    </w:p>
    <w:p w14:paraId="68000000">
      <w:pPr>
        <w:widowControl w:val="1"/>
        <w:ind w:firstLine="709"/>
        <w:rPr>
          <w:sz w:val="18"/>
        </w:rPr>
      </w:pPr>
    </w:p>
    <w:p w14:paraId="69000000">
      <w:pPr>
        <w:widowControl w:val="1"/>
        <w:ind w:firstLine="709"/>
        <w:rPr>
          <w:sz w:val="18"/>
        </w:rPr>
      </w:pPr>
    </w:p>
    <w:p w14:paraId="6A000000">
      <w:pPr>
        <w:widowControl w:val="1"/>
        <w:ind w:firstLine="709"/>
        <w:rPr>
          <w:sz w:val="18"/>
        </w:rPr>
      </w:pPr>
    </w:p>
    <w:p w14:paraId="6B000000">
      <w:pPr>
        <w:widowControl w:val="1"/>
        <w:ind w:firstLine="709"/>
        <w:rPr>
          <w:sz w:val="18"/>
        </w:rPr>
      </w:pPr>
    </w:p>
    <w:p w14:paraId="6C000000">
      <w:pPr>
        <w:widowControl w:val="1"/>
        <w:ind w:firstLine="709"/>
        <w:rPr>
          <w:sz w:val="18"/>
        </w:rPr>
      </w:pPr>
    </w:p>
    <w:p w14:paraId="6D000000">
      <w:pPr>
        <w:widowControl w:val="1"/>
        <w:ind w:firstLine="709"/>
        <w:rPr>
          <w:sz w:val="18"/>
        </w:rPr>
      </w:pPr>
    </w:p>
    <w:p w14:paraId="6E000000">
      <w:pPr>
        <w:widowControl w:val="1"/>
        <w:ind w:firstLine="709"/>
        <w:rPr>
          <w:sz w:val="18"/>
        </w:rPr>
      </w:pPr>
    </w:p>
    <w:p w14:paraId="6F000000">
      <w:pPr>
        <w:widowControl w:val="1"/>
        <w:ind w:firstLine="709"/>
        <w:rPr>
          <w:sz w:val="18"/>
        </w:rPr>
      </w:pPr>
    </w:p>
    <w:p w14:paraId="70000000">
      <w:pPr>
        <w:widowControl w:val="1"/>
        <w:ind w:firstLine="709"/>
        <w:rPr>
          <w:sz w:val="18"/>
        </w:rPr>
      </w:pPr>
    </w:p>
    <w:p w14:paraId="71000000">
      <w:pPr>
        <w:widowControl w:val="1"/>
        <w:ind w:firstLine="709"/>
        <w:rPr>
          <w:sz w:val="18"/>
        </w:rPr>
      </w:pPr>
    </w:p>
    <w:p w14:paraId="72000000">
      <w:pPr>
        <w:widowControl w:val="1"/>
        <w:ind w:firstLine="709"/>
        <w:rPr>
          <w:sz w:val="18"/>
        </w:rPr>
      </w:pPr>
    </w:p>
    <w:p w14:paraId="73000000">
      <w:pPr>
        <w:widowControl w:val="1"/>
        <w:ind w:firstLine="709"/>
        <w:rPr>
          <w:sz w:val="18"/>
        </w:rPr>
      </w:pPr>
    </w:p>
    <w:p w14:paraId="74000000">
      <w:pPr>
        <w:widowControl w:val="1"/>
        <w:ind w:firstLine="709"/>
        <w:rPr>
          <w:sz w:val="18"/>
        </w:rPr>
      </w:pPr>
    </w:p>
    <w:p w14:paraId="75000000">
      <w:pPr>
        <w:widowControl w:val="1"/>
        <w:ind w:firstLine="709"/>
        <w:rPr>
          <w:sz w:val="18"/>
        </w:rPr>
      </w:pPr>
    </w:p>
    <w:p w14:paraId="76000000">
      <w:pPr>
        <w:widowControl w:val="1"/>
        <w:ind w:firstLine="709"/>
        <w:rPr>
          <w:sz w:val="18"/>
        </w:rPr>
      </w:pPr>
    </w:p>
    <w:p w14:paraId="77000000">
      <w:pPr>
        <w:widowControl w:val="1"/>
        <w:ind w:firstLine="709"/>
        <w:rPr>
          <w:sz w:val="18"/>
        </w:rPr>
      </w:pPr>
    </w:p>
    <w:p w14:paraId="78000000">
      <w:pPr>
        <w:widowControl w:val="1"/>
        <w:ind w:firstLine="709"/>
        <w:rPr>
          <w:sz w:val="18"/>
        </w:rPr>
      </w:pPr>
    </w:p>
    <w:p w14:paraId="79000000">
      <w:pPr>
        <w:widowControl w:val="1"/>
        <w:ind w:firstLine="709"/>
        <w:rPr>
          <w:sz w:val="18"/>
        </w:rPr>
      </w:pPr>
    </w:p>
    <w:p w14:paraId="7A000000">
      <w:pPr>
        <w:widowControl w:val="1"/>
        <w:ind w:firstLine="709"/>
        <w:rPr>
          <w:sz w:val="18"/>
        </w:rPr>
      </w:pPr>
    </w:p>
    <w:p w14:paraId="7B000000">
      <w:pPr>
        <w:widowControl w:val="1"/>
        <w:ind w:firstLine="709"/>
        <w:rPr>
          <w:sz w:val="18"/>
        </w:rPr>
      </w:pPr>
    </w:p>
    <w:p w14:paraId="7C000000">
      <w:pPr>
        <w:widowControl w:val="1"/>
        <w:ind w:firstLine="709"/>
        <w:rPr>
          <w:sz w:val="18"/>
        </w:rPr>
      </w:pPr>
    </w:p>
    <w:p w14:paraId="7D000000">
      <w:pPr>
        <w:widowControl w:val="1"/>
        <w:ind w:firstLine="709"/>
        <w:rPr>
          <w:sz w:val="18"/>
        </w:rPr>
      </w:pPr>
    </w:p>
    <w:p w14:paraId="7E000000">
      <w:pPr>
        <w:widowControl w:val="1"/>
        <w:ind w:firstLine="709"/>
        <w:rPr>
          <w:sz w:val="18"/>
        </w:rPr>
      </w:pPr>
    </w:p>
    <w:p w14:paraId="7F000000">
      <w:pPr>
        <w:widowControl w:val="1"/>
        <w:ind w:firstLine="709"/>
        <w:rPr>
          <w:sz w:val="18"/>
        </w:rPr>
      </w:pPr>
    </w:p>
    <w:p w14:paraId="80000000">
      <w:pPr>
        <w:widowControl w:val="1"/>
        <w:ind w:firstLine="709"/>
        <w:rPr>
          <w:sz w:val="18"/>
        </w:rPr>
      </w:pPr>
    </w:p>
    <w:p w14:paraId="81000000">
      <w:pPr>
        <w:widowControl w:val="1"/>
        <w:ind w:firstLine="709"/>
        <w:rPr>
          <w:sz w:val="18"/>
        </w:rPr>
      </w:pPr>
    </w:p>
    <w:p w14:paraId="82000000">
      <w:pPr>
        <w:widowControl w:val="1"/>
        <w:ind w:firstLine="709"/>
        <w:rPr>
          <w:sz w:val="18"/>
        </w:rPr>
      </w:pPr>
    </w:p>
    <w:p w14:paraId="83000000">
      <w:pPr>
        <w:widowControl w:val="1"/>
        <w:ind w:firstLine="709"/>
        <w:rPr>
          <w:sz w:val="18"/>
        </w:rPr>
      </w:pPr>
    </w:p>
    <w:p w14:paraId="84000000">
      <w:pPr>
        <w:widowControl w:val="1"/>
        <w:ind w:firstLine="709"/>
        <w:rPr>
          <w:sz w:val="18"/>
        </w:rPr>
      </w:pPr>
    </w:p>
    <w:p w14:paraId="85000000">
      <w:pPr>
        <w:widowControl w:val="1"/>
        <w:ind w:firstLine="709"/>
        <w:rPr>
          <w:sz w:val="18"/>
        </w:rPr>
      </w:pPr>
    </w:p>
    <w:p w14:paraId="86000000">
      <w:pPr>
        <w:widowControl w:val="1"/>
        <w:ind w:firstLine="709"/>
        <w:rPr>
          <w:sz w:val="18"/>
        </w:rPr>
      </w:pPr>
    </w:p>
    <w:p w14:paraId="87000000">
      <w:pPr>
        <w:widowControl w:val="1"/>
        <w:ind w:firstLine="709"/>
        <w:rPr>
          <w:sz w:val="18"/>
        </w:rPr>
      </w:pPr>
    </w:p>
    <w:p w14:paraId="88000000">
      <w:pPr>
        <w:widowControl w:val="1"/>
        <w:ind w:firstLine="709"/>
        <w:rPr>
          <w:sz w:val="18"/>
        </w:rPr>
      </w:pPr>
    </w:p>
    <w:p w14:paraId="89000000">
      <w:pPr>
        <w:widowControl w:val="1"/>
        <w:ind w:firstLine="709"/>
        <w:rPr>
          <w:sz w:val="18"/>
        </w:rPr>
      </w:pPr>
    </w:p>
    <w:p w14:paraId="8A000000">
      <w:pPr>
        <w:rPr>
          <w:sz w:val="18"/>
        </w:rPr>
      </w:pPr>
    </w:p>
    <w:p w14:paraId="8B000000">
      <w:pPr>
        <w:rPr>
          <w:sz w:val="18"/>
        </w:rPr>
      </w:pPr>
    </w:p>
    <w:p w14:paraId="8C000000">
      <w:pPr>
        <w:widowControl w:val="1"/>
        <w:ind/>
        <w:jc w:val="right"/>
        <w:rPr>
          <w:sz w:val="18"/>
        </w:rPr>
      </w:pPr>
    </w:p>
    <w:p w14:paraId="8D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2</w:t>
      </w:r>
      <w:r>
        <w:rPr>
          <w:sz w:val="24"/>
        </w:rPr>
        <w:t xml:space="preserve"> </w:t>
      </w:r>
    </w:p>
    <w:p w14:paraId="8E000000">
      <w:pPr>
        <w:widowControl w:val="1"/>
        <w:ind/>
        <w:jc w:val="right"/>
        <w:rPr>
          <w:sz w:val="24"/>
        </w:rPr>
      </w:pPr>
      <w:r>
        <w:rPr>
          <w:sz w:val="24"/>
        </w:rPr>
        <w:t>к Постановлению администрации</w:t>
      </w:r>
    </w:p>
    <w:p w14:paraId="8F000000">
      <w:pPr>
        <w:widowControl w:val="1"/>
        <w:ind/>
        <w:jc w:val="right"/>
        <w:rPr>
          <w:sz w:val="24"/>
        </w:rPr>
      </w:pPr>
      <w:r>
        <w:rPr>
          <w:sz w:val="24"/>
        </w:rPr>
        <w:t>Крапивинского муниципального округа</w:t>
      </w:r>
    </w:p>
    <w:p w14:paraId="90000000">
      <w:pPr>
        <w:widowControl w:val="1"/>
        <w:ind/>
        <w:jc w:val="right"/>
        <w:rPr>
          <w:sz w:val="24"/>
        </w:rPr>
      </w:pPr>
      <w:r>
        <w:rPr>
          <w:sz w:val="24"/>
        </w:rPr>
        <w:t>о</w:t>
      </w:r>
      <w:r>
        <w:rPr>
          <w:sz w:val="24"/>
        </w:rPr>
        <w:t>т</w:t>
      </w:r>
      <w:r>
        <w:rPr>
          <w:sz w:val="24"/>
        </w:rPr>
        <w:t xml:space="preserve"> 11.09.2026 </w:t>
      </w:r>
      <w:r>
        <w:rPr>
          <w:sz w:val="24"/>
        </w:rPr>
        <w:t>№</w:t>
      </w:r>
      <w:r>
        <w:rPr>
          <w:sz w:val="24"/>
        </w:rPr>
        <w:t xml:space="preserve"> 929 </w:t>
      </w:r>
    </w:p>
    <w:p w14:paraId="91000000">
      <w:pPr>
        <w:rPr>
          <w:sz w:val="24"/>
        </w:rPr>
      </w:pPr>
    </w:p>
    <w:p w14:paraId="92000000">
      <w:pPr>
        <w:rPr>
          <w:sz w:val="24"/>
        </w:rPr>
      </w:pPr>
    </w:p>
    <w:p w14:paraId="93000000">
      <w:pPr>
        <w:pStyle w:val="Style_2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sz w:val="24"/>
        </w:rPr>
        <w:tab/>
      </w:r>
      <w:r>
        <w:rPr>
          <w:rFonts w:ascii="Times New Roman" w:hAnsi="Times New Roman"/>
          <w:sz w:val="24"/>
        </w:rPr>
        <w:t>ПАСПОРТ</w:t>
      </w:r>
    </w:p>
    <w:p w14:paraId="94000000">
      <w:pPr>
        <w:widowControl w:val="1"/>
        <w:ind/>
        <w:jc w:val="center"/>
        <w:rPr>
          <w:sz w:val="24"/>
        </w:rPr>
      </w:pPr>
      <w:r>
        <w:rPr>
          <w:sz w:val="24"/>
        </w:rPr>
        <w:t>захоронения останков жертв геноцида советского народа</w:t>
      </w:r>
    </w:p>
    <w:p w14:paraId="95000000">
      <w:pPr>
        <w:widowControl w:val="1"/>
        <w:ind/>
        <w:jc w:val="center"/>
        <w:rPr>
          <w:sz w:val="24"/>
        </w:rPr>
      </w:pPr>
      <w:r>
        <w:rPr>
          <w:sz w:val="24"/>
        </w:rPr>
        <w:t>в период Великой Отечественной войны 1941 - 1945 годов</w:t>
      </w:r>
      <w:r>
        <w:rPr>
          <w:sz w:val="24"/>
        </w:rPr>
        <w:t xml:space="preserve"> на территории Крапивинского муниципального округа </w:t>
      </w:r>
    </w:p>
    <w:p w14:paraId="96000000">
      <w:pPr>
        <w:widowControl w:val="1"/>
        <w:ind/>
        <w:jc w:val="both"/>
        <w:rPr>
          <w:sz w:val="24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6"/>
        <w:gridCol w:w="3685"/>
        <w:gridCol w:w="5309"/>
      </w:tblGrid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00000">
            <w:r>
              <w:t>1.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00000">
            <w:r>
              <w:t>Субъект Российской Федерации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00000">
            <w:pPr>
              <w:widowControl w:val="1"/>
              <w:ind/>
              <w:jc w:val="center"/>
            </w:pPr>
            <w:r>
              <w:t>(наименование субъекта Российской Федерации)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00000">
            <w:r>
              <w:t>2.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00000">
            <w:r>
              <w:t>Наименование захоронения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00000">
            <w:pPr>
              <w:widowControl w:val="1"/>
              <w:ind/>
              <w:jc w:val="center"/>
            </w:pPr>
            <w:r>
              <w:t>(наименование захоронения)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00000">
            <w:r>
              <w:t>3.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00000">
            <w:r>
              <w:t>Полный адрес места захоронения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00000">
            <w:pPr>
              <w:widowControl w:val="1"/>
              <w:ind/>
              <w:jc w:val="center"/>
            </w:pPr>
            <w:r>
              <w:t>(полный адрес места захоронения либо расстояние до ближайших ориентиров, позволяющих установить его точное местоположение)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00000">
            <w:r>
              <w:t>4.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r>
              <w:t>Геодезические координаты границ захоронения в геодезической системе координат 2011 года (ГСК-2011)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00000">
            <w:pPr>
              <w:widowControl w:val="1"/>
              <w:ind/>
              <w:jc w:val="center"/>
            </w:pPr>
            <w:r>
              <w:t>(широта и долгота точек границ захоронения в ГСК-2011)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r>
              <w:t>5.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00000">
            <w:r>
              <w:t>Кадастровый номер земельного участка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00000">
            <w:pPr>
              <w:widowControl w:val="1"/>
              <w:ind/>
              <w:jc w:val="center"/>
            </w:pPr>
            <w:r>
              <w:t>(кадастровый номер земельного участка, на котором расположено место захоронения)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00000">
            <w:r>
              <w:t>6.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00000">
            <w:r>
              <w:t>Вид захоронения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00000">
            <w:pPr>
              <w:widowControl w:val="1"/>
              <w:ind/>
              <w:jc w:val="center"/>
            </w:pPr>
            <w:r>
              <w:t>(указывается количество братских и индивидуальных захоронений, а также отметка о захоронении на кладбище или вне кладбищ)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00000">
            <w:r>
              <w:t>7.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r>
              <w:t>Состояние захоронения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widowControl w:val="1"/>
              <w:ind/>
              <w:jc w:val="center"/>
            </w:pPr>
            <w:r>
              <w:t>(хорошее, удовлетворительное или поврежденное)</w:t>
            </w:r>
          </w:p>
        </w:tc>
      </w:tr>
    </w:tbl>
    <w:p w14:paraId="AC000000">
      <w:pPr>
        <w:widowControl w:val="1"/>
        <w:ind/>
        <w:jc w:val="both"/>
      </w:pPr>
    </w:p>
    <w:p w14:paraId="AD000000">
      <w:pPr>
        <w:widowControl w:val="1"/>
        <w:ind/>
        <w:jc w:val="both"/>
      </w:pPr>
      <w:r>
        <w:t>8. Фотографии захоронения</w:t>
      </w:r>
    </w:p>
    <w:p w14:paraId="AE000000">
      <w:pPr>
        <w:widowControl w:val="1"/>
        <w:ind/>
        <w:jc w:val="both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val="nil"/>
          <w:insideV w:color="000000" w:val="nil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560"/>
      </w:tblGrid>
      <w:tr>
        <w:tc>
          <w:tcPr>
            <w:tcW w:type="dxa" w:w="9560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5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widowControl w:val="1"/>
              <w:ind/>
              <w:jc w:val="center"/>
            </w:pPr>
            <w:r>
              <w:t>Место для фотографии</w:t>
            </w:r>
          </w:p>
        </w:tc>
      </w:tr>
      <w:tr>
        <w:tc>
          <w:tcPr>
            <w:tcW w:type="dxa" w:w="95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</w:tr>
    </w:tbl>
    <w:p w14:paraId="B0000000">
      <w:pPr>
        <w:widowControl w:val="1"/>
        <w:ind/>
        <w:jc w:val="both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6"/>
        <w:gridCol w:w="3685"/>
        <w:gridCol w:w="5309"/>
      </w:tblGrid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r>
              <w:t>9.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widowControl w:val="1"/>
              <w:ind/>
              <w:jc w:val="both"/>
            </w:pPr>
            <w:r>
              <w:t>Размеры захоронения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widowControl w:val="1"/>
              <w:ind/>
              <w:jc w:val="center"/>
            </w:pPr>
            <w:r>
              <w:t>(ширина и длина кладбища, участка кладбища или отдельных могил, наличие и тип ограждения)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r>
              <w:t>10.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widowControl w:val="1"/>
              <w:ind/>
              <w:jc w:val="both"/>
            </w:pPr>
            <w:r>
              <w:t>Описание памятного знака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widowControl w:val="1"/>
              <w:ind/>
              <w:jc w:val="center"/>
            </w:pPr>
            <w:r>
              <w:t>(краткая характеристика, размеры, материал изготовления, дата установки, техническое состояние памятника)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00000">
            <w:r>
              <w:t>11.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widowControl w:val="1"/>
              <w:ind/>
              <w:jc w:val="both"/>
            </w:pPr>
            <w:r>
              <w:t>Сведения о физических лицах и (или) организациях, участвующих в благоустройстве и содержании захоронения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00000">
            <w:r>
              <w:t>12.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widowControl w:val="1"/>
              <w:ind/>
              <w:jc w:val="both"/>
            </w:pPr>
            <w:r>
              <w:t>Количество известных захороненных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r>
              <w:t>13.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widowControl w:val="1"/>
              <w:ind/>
              <w:jc w:val="both"/>
            </w:pPr>
            <w:r>
              <w:t>Количество неизвестных захороненных</w:t>
            </w:r>
          </w:p>
        </w:tc>
        <w:tc>
          <w:tcPr>
            <w:tcW w:type="dxa" w:w="5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BD000000">
      <w:pPr>
        <w:widowControl w:val="1"/>
        <w:ind/>
        <w:jc w:val="both"/>
      </w:pPr>
    </w:p>
    <w:p w14:paraId="BE000000">
      <w:pPr>
        <w:widowControl w:val="1"/>
        <w:ind/>
        <w:jc w:val="both"/>
      </w:pPr>
      <w:r>
        <w:t>14. Дополнительная информация о захоронении</w:t>
      </w:r>
    </w:p>
    <w:p w14:paraId="BF000000">
      <w:pPr>
        <w:widowControl w:val="1"/>
        <w:ind/>
        <w:jc w:val="both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val="nil"/>
          <w:insideV w:color="000000" w:val="nil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560"/>
      </w:tblGrid>
      <w:tr>
        <w:tc>
          <w:tcPr>
            <w:tcW w:type="dxa" w:w="9560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560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95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C0000000">
      <w:pPr>
        <w:widowControl w:val="1"/>
        <w:ind/>
        <w:jc w:val="both"/>
      </w:pPr>
    </w:p>
    <w:tbl>
      <w:tblPr>
        <w:tblStyle w:val="Style_4"/>
        <w:tblpPr w:bottomFromText="0" w:horzAnchor="margin" w:leftFromText="180" w:rightFromText="180" w:tblpXSpec="center" w:tblpY="7325" w:topFromText="0" w:vertAnchor="page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7"/>
        <w:gridCol w:w="1134"/>
        <w:gridCol w:w="1134"/>
        <w:gridCol w:w="1276"/>
        <w:gridCol w:w="1134"/>
        <w:gridCol w:w="1134"/>
        <w:gridCol w:w="1632"/>
        <w:gridCol w:w="1549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N п/п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Отчество (при наличии)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Дата гибели (смерти)</w:t>
            </w:r>
          </w:p>
        </w:tc>
        <w:tc>
          <w:tcPr>
            <w:tcW w:type="dxa" w:w="1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Место захоронения (номер участка, номер братской могилы)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Адрес предыдущего места захоронения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1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00000">
            <w:pPr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00000">
            <w:pPr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00000">
            <w:pPr>
              <w:rPr>
                <w:sz w:val="24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00000">
            <w:pPr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00000">
            <w:pPr>
              <w:rPr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00000">
            <w:pPr>
              <w:rPr>
                <w:sz w:val="24"/>
              </w:rPr>
            </w:pPr>
          </w:p>
        </w:tc>
        <w:tc>
          <w:tcPr>
            <w:tcW w:type="dxa" w:w="16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00000">
            <w:pPr>
              <w:rPr>
                <w:sz w:val="24"/>
              </w:rPr>
            </w:pPr>
          </w:p>
        </w:tc>
        <w:tc>
          <w:tcPr>
            <w:tcW w:type="dxa" w:w="1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00000">
            <w:pPr>
              <w:rPr>
                <w:sz w:val="24"/>
              </w:rPr>
            </w:pPr>
          </w:p>
        </w:tc>
      </w:tr>
    </w:tbl>
    <w:p w14:paraId="D9000000">
      <w:pPr>
        <w:widowControl w:val="1"/>
        <w:ind w:firstLine="540"/>
        <w:jc w:val="both"/>
      </w:pPr>
      <w:r>
        <w:t>15. Сведения о захороненных</w:t>
      </w:r>
    </w:p>
    <w:p w14:paraId="DA000000">
      <w:pPr>
        <w:rPr>
          <w:sz w:val="24"/>
        </w:rPr>
      </w:pPr>
    </w:p>
    <w:p w14:paraId="DB000000">
      <w:pPr>
        <w:rPr>
          <w:sz w:val="24"/>
        </w:rPr>
      </w:pPr>
    </w:p>
    <w:p w14:paraId="DC000000">
      <w:pPr>
        <w:rPr>
          <w:sz w:val="24"/>
        </w:rPr>
      </w:pPr>
    </w:p>
    <w:tbl>
      <w:tblPr>
        <w:tblStyle w:val="Style_4"/>
        <w:tblpPr w:bottomFromText="0" w:horzAnchor="margin" w:leftFromText="180" w:rightFromText="180" w:tblpXSpec="left" w:tblpY="501" w:topFromText="0" w:vertAnchor="text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6"/>
        <w:gridCol w:w="7164"/>
        <w:gridCol w:w="1982"/>
      </w:tblGrid>
      <w:tr>
        <w:tc>
          <w:tcPr>
            <w:tcW w:type="dxa" w:w="42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00000">
            <w:pPr>
              <w:widowControl w:val="1"/>
              <w:tabs>
                <w:tab w:leader="none" w:pos="1791" w:val="left"/>
              </w:tabs>
              <w:ind/>
              <w:rPr>
                <w:sz w:val="24"/>
              </w:rPr>
            </w:pPr>
          </w:p>
        </w:tc>
        <w:tc>
          <w:tcPr>
            <w:tcW w:type="dxa" w:w="9146"/>
            <w:gridSpan w:val="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00000">
            <w:pPr>
              <w:widowControl w:val="1"/>
              <w:tabs>
                <w:tab w:leader="none" w:pos="1791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Уполномоченное на осуществление государственного учета и паспортизации захоронений останков жертв геноцида советского народа в период Великой Отечественной войны 1941 - 1945 годов должностное лицо:</w:t>
            </w:r>
          </w:p>
        </w:tc>
      </w:tr>
      <w:tr>
        <w:tc>
          <w:tcPr>
            <w:tcW w:type="dxa" w:w="42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00000">
            <w:pPr>
              <w:widowControl w:val="1"/>
              <w:tabs>
                <w:tab w:leader="none" w:pos="1791" w:val="left"/>
              </w:tabs>
              <w:ind/>
              <w:rPr>
                <w:sz w:val="24"/>
              </w:rPr>
            </w:pPr>
          </w:p>
        </w:tc>
        <w:tc>
          <w:tcPr>
            <w:tcW w:type="dxa" w:w="7164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00000">
            <w:pPr>
              <w:widowControl w:val="1"/>
              <w:tabs>
                <w:tab w:leader="none" w:pos="1791" w:val="left"/>
              </w:tabs>
              <w:ind/>
              <w:rPr>
                <w:sz w:val="24"/>
                <w:u w:val="single"/>
              </w:rPr>
            </w:pPr>
          </w:p>
        </w:tc>
        <w:tc>
          <w:tcPr>
            <w:tcW w:type="dxa" w:w="1982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widowControl w:val="1"/>
              <w:tabs>
                <w:tab w:leader="none" w:pos="1791" w:val="left"/>
              </w:tabs>
              <w:ind/>
              <w:rPr>
                <w:sz w:val="24"/>
              </w:rPr>
            </w:pPr>
          </w:p>
        </w:tc>
      </w:tr>
      <w:tr>
        <w:tc>
          <w:tcPr>
            <w:tcW w:type="dxa" w:w="42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00000">
            <w:pPr>
              <w:widowControl w:val="1"/>
              <w:tabs>
                <w:tab w:leader="none" w:pos="1791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7164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00000">
            <w:pPr>
              <w:widowControl w:val="1"/>
              <w:tabs>
                <w:tab w:leader="none" w:pos="1791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(должность, подпись, инициалы имени и отчества (при наличии), фамилия)</w:t>
            </w:r>
          </w:p>
        </w:tc>
        <w:tc>
          <w:tcPr>
            <w:tcW w:type="dxa" w:w="1982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00000">
            <w:pPr>
              <w:widowControl w:val="1"/>
              <w:tabs>
                <w:tab w:leader="none" w:pos="1791" w:val="left"/>
              </w:tabs>
              <w:ind/>
              <w:rPr>
                <w:sz w:val="24"/>
              </w:rPr>
            </w:pPr>
          </w:p>
        </w:tc>
      </w:tr>
      <w:tr>
        <w:tc>
          <w:tcPr>
            <w:tcW w:type="dxa" w:w="42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00000">
            <w:pPr>
              <w:widowControl w:val="1"/>
              <w:tabs>
                <w:tab w:leader="none" w:pos="1791" w:val="left"/>
              </w:tabs>
              <w:ind/>
              <w:rPr>
                <w:sz w:val="24"/>
              </w:rPr>
            </w:pPr>
          </w:p>
        </w:tc>
        <w:tc>
          <w:tcPr>
            <w:tcW w:type="dxa" w:w="9146"/>
            <w:gridSpan w:val="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00000">
            <w:pPr>
              <w:widowControl w:val="1"/>
              <w:tabs>
                <w:tab w:leader="none" w:pos="1791" w:val="left"/>
              </w:tabs>
              <w:ind/>
              <w:jc w:val="right"/>
              <w:rPr>
                <w:sz w:val="24"/>
              </w:rPr>
            </w:pPr>
            <w:r>
              <w:rPr>
                <w:sz w:val="24"/>
              </w:rPr>
              <w:t>"__" ________ 20__ г.</w:t>
            </w:r>
          </w:p>
        </w:tc>
      </w:tr>
    </w:tbl>
    <w:p w14:paraId="E7000000">
      <w:pPr>
        <w:rPr>
          <w:sz w:val="24"/>
        </w:rPr>
      </w:pPr>
    </w:p>
    <w:p w14:paraId="E8000000">
      <w:pPr>
        <w:sectPr>
          <w:pgSz w:h="16838" w:orient="portrait" w:w="11906"/>
          <w:pgMar w:bottom="1134" w:footer="708" w:gutter="0" w:header="708" w:left="1701" w:right="850" w:top="1134"/>
        </w:sectPr>
      </w:pPr>
    </w:p>
    <w:p w14:paraId="E9000000">
      <w:pPr>
        <w:widowControl w:val="1"/>
        <w:tabs>
          <w:tab w:leader="none" w:pos="3405" w:val="left"/>
        </w:tabs>
        <w:ind/>
        <w:rPr>
          <w:sz w:val="24"/>
        </w:rPr>
      </w:pPr>
    </w:p>
    <w:sectPr>
      <w:pgSz w:h="16837" w:orient="portrait" w:w="11905"/>
      <w:pgMar w:bottom="709" w:footer="720" w:gutter="0" w:header="720" w:left="1701" w:right="851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Absatz-Standardschriftart"/>
    <w:link w:val="Style_7_ch"/>
  </w:style>
  <w:style w:styleId="Style_7_ch" w:type="character">
    <w:name w:val="Absatz-Standardschriftart"/>
    <w:link w:val="Style_7"/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Содержимое таблицы"/>
    <w:basedOn w:val="Style_5"/>
    <w:link w:val="Style_11_ch"/>
  </w:style>
  <w:style w:styleId="Style_11_ch" w:type="character">
    <w:name w:val="Содержимое таблицы"/>
    <w:basedOn w:val="Style_5_ch"/>
    <w:link w:val="Style_11"/>
  </w:style>
  <w:style w:styleId="Style_12" w:type="paragraph">
    <w:name w:val="Body Text"/>
    <w:basedOn w:val="Style_5"/>
    <w:link w:val="Style_12_ch"/>
    <w:pPr>
      <w:widowControl w:val="1"/>
      <w:spacing w:after="120" w:before="0"/>
      <w:ind/>
    </w:pPr>
  </w:style>
  <w:style w:styleId="Style_12_ch" w:type="character">
    <w:name w:val="Body Text"/>
    <w:basedOn w:val="Style_5_ch"/>
    <w:link w:val="Style_12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5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Символ нумерации"/>
    <w:link w:val="Style_16_ch"/>
  </w:style>
  <w:style w:styleId="Style_16_ch" w:type="character">
    <w:name w:val="Символ нумерации"/>
    <w:link w:val="Style_16"/>
  </w:style>
  <w:style w:styleId="Style_17" w:type="paragraph">
    <w:name w:val="Указатель1"/>
    <w:basedOn w:val="Style_5"/>
    <w:link w:val="Style_17_ch"/>
    <w:rPr>
      <w:rFonts w:ascii="Arial" w:hAnsi="Arial"/>
    </w:rPr>
  </w:style>
  <w:style w:styleId="Style_17_ch" w:type="character">
    <w:name w:val="Указатель1"/>
    <w:basedOn w:val="Style_5_ch"/>
    <w:link w:val="Style_17"/>
    <w:rPr>
      <w:rFonts w:ascii="Arial" w:hAnsi="Arial"/>
    </w:rPr>
  </w:style>
  <w:style w:styleId="Style_18" w:type="paragraph">
    <w:name w:val="WW8Num4z2"/>
    <w:link w:val="Style_18_ch"/>
    <w:rPr>
      <w:rFonts w:ascii="Wingdings" w:hAnsi="Wingdings"/>
    </w:rPr>
  </w:style>
  <w:style w:styleId="Style_18_ch" w:type="character">
    <w:name w:val="WW8Num4z2"/>
    <w:link w:val="Style_18"/>
    <w:rPr>
      <w:rFonts w:ascii="Wingdings" w:hAnsi="Wingdings"/>
    </w:rPr>
  </w:style>
  <w:style w:styleId="Style_19" w:type="paragraph">
    <w:name w:val="Текст выноски Знак"/>
    <w:link w:val="Style_19_ch"/>
    <w:rPr>
      <w:rFonts w:ascii="Tahoma" w:hAnsi="Tahoma"/>
      <w:sz w:val="16"/>
    </w:rPr>
  </w:style>
  <w:style w:styleId="Style_19_ch" w:type="character">
    <w:name w:val="Текст выноски Знак"/>
    <w:link w:val="Style_19"/>
    <w:rPr>
      <w:rFonts w:ascii="Tahoma" w:hAnsi="Tahoma"/>
      <w:sz w:val="16"/>
    </w:rPr>
  </w:style>
  <w:style w:styleId="Style_20" w:type="paragraph">
    <w:name w:val="WW8Num6z0"/>
    <w:link w:val="Style_20_ch"/>
    <w:rPr>
      <w:rFonts w:ascii="Times New Roman" w:hAnsi="Times New Roman"/>
    </w:rPr>
  </w:style>
  <w:style w:styleId="Style_20_ch" w:type="character">
    <w:name w:val="WW8Num6z0"/>
    <w:link w:val="Style_20"/>
    <w:rPr>
      <w:rFonts w:ascii="Times New Roman" w:hAnsi="Times New Roman"/>
    </w:rPr>
  </w:style>
  <w:style w:styleId="Style_21" w:type="paragraph">
    <w:name w:val="toc 3"/>
    <w:next w:val="Style_5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header"/>
    <w:basedOn w:val="Style_5"/>
    <w:link w:val="Style_22_ch"/>
    <w:pPr>
      <w:widowControl w:val="1"/>
      <w:tabs>
        <w:tab w:leader="none" w:pos="4677" w:val="center"/>
        <w:tab w:leader="none" w:pos="9355" w:val="right"/>
      </w:tabs>
      <w:ind/>
    </w:pPr>
  </w:style>
  <w:style w:styleId="Style_22_ch" w:type="character">
    <w:name w:val="header"/>
    <w:basedOn w:val="Style_5_ch"/>
    <w:link w:val="Style_22"/>
  </w:style>
  <w:style w:styleId="Style_23" w:type="paragraph">
    <w:name w:val="WW8Num1z0"/>
    <w:link w:val="Style_23_ch"/>
    <w:rPr>
      <w:rFonts w:ascii="Times New Roman" w:hAnsi="Times New Roman"/>
    </w:rPr>
  </w:style>
  <w:style w:styleId="Style_23_ch" w:type="character">
    <w:name w:val="WW8Num1z0"/>
    <w:link w:val="Style_23"/>
    <w:rPr>
      <w:rFonts w:ascii="Times New Roman" w:hAnsi="Times New Roman"/>
    </w:rPr>
  </w:style>
  <w:style w:styleId="Style_24" w:type="paragraph">
    <w:name w:val="Normal (Web)"/>
    <w:basedOn w:val="Style_5"/>
    <w:link w:val="Style_24_ch"/>
    <w:rPr>
      <w:sz w:val="24"/>
    </w:rPr>
  </w:style>
  <w:style w:styleId="Style_24_ch" w:type="character">
    <w:name w:val="Normal (Web)"/>
    <w:basedOn w:val="Style_5_ch"/>
    <w:link w:val="Style_24"/>
    <w:rPr>
      <w:sz w:val="24"/>
    </w:rPr>
  </w:style>
  <w:style w:styleId="Style_25" w:type="paragraph">
    <w:name w:val="ConsNormal"/>
    <w:link w:val="Style_25_ch"/>
    <w:pPr>
      <w:widowControl w:val="0"/>
      <w:ind w:firstLine="720"/>
    </w:pPr>
    <w:rPr>
      <w:rFonts w:ascii="Arial" w:hAnsi="Arial"/>
    </w:rPr>
  </w:style>
  <w:style w:styleId="Style_25_ch" w:type="character">
    <w:name w:val="ConsNormal"/>
    <w:link w:val="Style_25"/>
    <w:rPr>
      <w:rFonts w:ascii="Arial" w:hAnsi="Arial"/>
    </w:rPr>
  </w:style>
  <w:style w:styleId="Style_26" w:type="paragraph">
    <w:name w:val="heading 5"/>
    <w:basedOn w:val="Style_5"/>
    <w:next w:val="Style_5"/>
    <w:link w:val="Style_26_ch"/>
    <w:uiPriority w:val="9"/>
    <w:qFormat/>
    <w:pPr>
      <w:widowControl w:val="1"/>
      <w:spacing w:after="60" w:before="240"/>
      <w:ind/>
      <w:outlineLvl w:val="4"/>
    </w:pPr>
    <w:rPr>
      <w:b w:val="1"/>
      <w:i w:val="1"/>
      <w:sz w:val="26"/>
    </w:rPr>
  </w:style>
  <w:style w:styleId="Style_26_ch" w:type="character">
    <w:name w:val="heading 5"/>
    <w:basedOn w:val="Style_5_ch"/>
    <w:link w:val="Style_26"/>
    <w:rPr>
      <w:b w:val="1"/>
      <w:i w:val="1"/>
      <w:sz w:val="26"/>
    </w:rPr>
  </w:style>
  <w:style w:styleId="Style_27" w:type="paragraph">
    <w:name w:val="heading 1"/>
    <w:next w:val="Style_5"/>
    <w:link w:val="Style_2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28" w:type="paragraph">
    <w:name w:val="List Paragraph"/>
    <w:basedOn w:val="Style_5"/>
    <w:link w:val="Style_28_ch"/>
    <w:pPr>
      <w:widowControl w:val="1"/>
      <w:spacing w:after="200" w:line="276" w:lineRule="auto"/>
      <w:ind w:left="720"/>
      <w:contextualSpacing w:val="1"/>
    </w:pPr>
    <w:rPr>
      <w:sz w:val="22"/>
    </w:rPr>
  </w:style>
  <w:style w:styleId="Style_28_ch" w:type="character">
    <w:name w:val="List Paragraph"/>
    <w:basedOn w:val="Style_5_ch"/>
    <w:link w:val="Style_28"/>
    <w:rPr>
      <w:sz w:val="2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1" w:type="paragraph">
    <w:name w:val="ConsPlusTitle"/>
    <w:link w:val="Style_1_ch"/>
    <w:pPr>
      <w:widowControl w:val="0"/>
      <w:ind/>
    </w:pPr>
    <w:rPr>
      <w:rFonts w:ascii="Calibri" w:hAnsi="Calibri"/>
      <w:b w:val="1"/>
      <w:sz w:val="22"/>
    </w:rPr>
  </w:style>
  <w:style w:styleId="Style_1_ch" w:type="character">
    <w:name w:val="ConsPlusTitle"/>
    <w:link w:val="Style_1"/>
    <w:rPr>
      <w:rFonts w:ascii="Calibri" w:hAnsi="Calibri"/>
      <w:b w:val="1"/>
      <w:sz w:val="22"/>
    </w:rPr>
  </w:style>
  <w:style w:styleId="Style_30" w:type="paragraph">
    <w:name w:val="toc 1"/>
    <w:next w:val="Style_5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Balloon Text"/>
    <w:basedOn w:val="Style_5"/>
    <w:link w:val="Style_31_ch"/>
    <w:rPr>
      <w:rFonts w:ascii="Tahoma" w:hAnsi="Tahoma"/>
      <w:sz w:val="16"/>
    </w:rPr>
  </w:style>
  <w:style w:styleId="Style_31_ch" w:type="character">
    <w:name w:val="Balloon Text"/>
    <w:basedOn w:val="Style_5_ch"/>
    <w:link w:val="Style_31"/>
    <w:rPr>
      <w:rFonts w:ascii="Tahoma" w:hAnsi="Tahoma"/>
      <w:sz w:val="16"/>
    </w:rPr>
  </w:style>
  <w:style w:styleId="Style_32" w:type="paragraph">
    <w:name w:val="WW8Num7z0"/>
    <w:link w:val="Style_32_ch"/>
    <w:rPr>
      <w:rFonts w:ascii="Times New Roman" w:hAnsi="Times New Roman"/>
    </w:rPr>
  </w:style>
  <w:style w:styleId="Style_32_ch" w:type="character">
    <w:name w:val="WW8Num7z0"/>
    <w:link w:val="Style_32"/>
    <w:rPr>
      <w:rFonts w:ascii="Times New Roman" w:hAnsi="Times New Roman"/>
    </w:rPr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toc 9"/>
    <w:next w:val="Style_5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WW8Num4z1"/>
    <w:link w:val="Style_35_ch"/>
    <w:rPr>
      <w:rFonts w:ascii="Courier New" w:hAnsi="Courier New"/>
    </w:rPr>
  </w:style>
  <w:style w:styleId="Style_35_ch" w:type="character">
    <w:name w:val="WW8Num4z1"/>
    <w:link w:val="Style_35"/>
    <w:rPr>
      <w:rFonts w:ascii="Courier New" w:hAnsi="Courier New"/>
    </w:rPr>
  </w:style>
  <w:style w:styleId="Style_36" w:type="paragraph">
    <w:name w:val="toc 8"/>
    <w:next w:val="Style_5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WW8Num4z0"/>
    <w:link w:val="Style_37_ch"/>
    <w:rPr>
      <w:rFonts w:ascii="Symbol" w:hAnsi="Symbol"/>
    </w:rPr>
  </w:style>
  <w:style w:styleId="Style_37_ch" w:type="character">
    <w:name w:val="WW8Num4z0"/>
    <w:link w:val="Style_37"/>
    <w:rPr>
      <w:rFonts w:ascii="Symbol" w:hAnsi="Symbol"/>
    </w:rPr>
  </w:style>
  <w:style w:styleId="Style_38" w:type="paragraph">
    <w:name w:val="List"/>
    <w:basedOn w:val="Style_12"/>
    <w:link w:val="Style_38_ch"/>
    <w:rPr>
      <w:rFonts w:ascii="Arial" w:hAnsi="Arial"/>
    </w:rPr>
  </w:style>
  <w:style w:styleId="Style_38_ch" w:type="character">
    <w:name w:val="List"/>
    <w:basedOn w:val="Style_12_ch"/>
    <w:link w:val="Style_38"/>
    <w:rPr>
      <w:rFonts w:ascii="Arial" w:hAnsi="Arial"/>
    </w:rPr>
  </w:style>
  <w:style w:styleId="Style_39" w:type="paragraph">
    <w:name w:val="WW8Num2z0"/>
    <w:link w:val="Style_39_ch"/>
    <w:rPr>
      <w:rFonts w:ascii="Times New Roman" w:hAnsi="Times New Roman"/>
    </w:rPr>
  </w:style>
  <w:style w:styleId="Style_39_ch" w:type="character">
    <w:name w:val="WW8Num2z0"/>
    <w:link w:val="Style_39"/>
    <w:rPr>
      <w:rFonts w:ascii="Times New Roman" w:hAnsi="Times New Roman"/>
    </w:rPr>
  </w:style>
  <w:style w:styleId="Style_40" w:type="paragraph">
    <w:name w:val="No Spacing"/>
    <w:link w:val="Style_40_ch"/>
    <w:pPr>
      <w:widowControl w:val="0"/>
      <w:ind/>
    </w:pPr>
  </w:style>
  <w:style w:styleId="Style_40_ch" w:type="character">
    <w:name w:val="No Spacing"/>
    <w:link w:val="Style_40"/>
  </w:style>
  <w:style w:styleId="Style_41" w:type="paragraph">
    <w:name w:val="Заголовок таблицы"/>
    <w:basedOn w:val="Style_11"/>
    <w:link w:val="Style_41_ch"/>
    <w:pPr>
      <w:widowControl w:val="1"/>
      <w:ind/>
      <w:jc w:val="center"/>
    </w:pPr>
    <w:rPr>
      <w:b w:val="1"/>
    </w:rPr>
  </w:style>
  <w:style w:styleId="Style_41_ch" w:type="character">
    <w:name w:val="Заголовок таблицы"/>
    <w:basedOn w:val="Style_11_ch"/>
    <w:link w:val="Style_41"/>
    <w:rPr>
      <w:b w:val="1"/>
    </w:rPr>
  </w:style>
  <w:style w:styleId="Style_42" w:type="paragraph">
    <w:name w:val="footer"/>
    <w:basedOn w:val="Style_5"/>
    <w:link w:val="Style_42_ch"/>
    <w:pPr>
      <w:widowControl w:val="1"/>
      <w:tabs>
        <w:tab w:leader="none" w:pos="4677" w:val="center"/>
        <w:tab w:leader="none" w:pos="9355" w:val="right"/>
      </w:tabs>
      <w:ind/>
    </w:pPr>
  </w:style>
  <w:style w:styleId="Style_42_ch" w:type="character">
    <w:name w:val="footer"/>
    <w:basedOn w:val="Style_5_ch"/>
    <w:link w:val="Style_42"/>
  </w:style>
  <w:style w:styleId="Style_43" w:type="paragraph">
    <w:name w:val="toc 5"/>
    <w:next w:val="Style_5"/>
    <w:link w:val="Style_4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3_ch" w:type="character">
    <w:name w:val="toc 5"/>
    <w:link w:val="Style_43"/>
    <w:rPr>
      <w:rFonts w:ascii="XO Thames" w:hAnsi="XO Thames"/>
      <w:sz w:val="28"/>
    </w:rPr>
  </w:style>
  <w:style w:styleId="Style_44" w:type="paragraph">
    <w:name w:val="Основной шрифт абзаца1"/>
    <w:link w:val="Style_44_ch"/>
  </w:style>
  <w:style w:styleId="Style_44_ch" w:type="character">
    <w:name w:val="Основной шрифт абзаца1"/>
    <w:link w:val="Style_44"/>
  </w:style>
  <w:style w:styleId="Style_2" w:type="paragraph">
    <w:name w:val="ConsPlusNormal"/>
    <w:link w:val="Style_2_ch"/>
    <w:pPr>
      <w:widowControl w:val="0"/>
      <w:ind/>
    </w:pPr>
    <w:rPr>
      <w:rFonts w:ascii="Calibri" w:hAnsi="Calibri"/>
      <w:sz w:val="22"/>
    </w:rPr>
  </w:style>
  <w:style w:styleId="Style_2_ch" w:type="character">
    <w:name w:val="ConsPlusNormal"/>
    <w:link w:val="Style_2"/>
    <w:rPr>
      <w:rFonts w:ascii="Calibri" w:hAnsi="Calibri"/>
      <w:sz w:val="22"/>
    </w:rPr>
  </w:style>
  <w:style w:styleId="Style_45" w:type="paragraph">
    <w:name w:val="Subtitle"/>
    <w:next w:val="Style_5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WW8Num5z0"/>
    <w:link w:val="Style_46_ch"/>
    <w:rPr>
      <w:rFonts w:ascii="Times New Roman" w:hAnsi="Times New Roman"/>
    </w:rPr>
  </w:style>
  <w:style w:styleId="Style_46_ch" w:type="character">
    <w:name w:val="WW8Num5z0"/>
    <w:link w:val="Style_46"/>
    <w:rPr>
      <w:rFonts w:ascii="Times New Roman" w:hAnsi="Times New Roman"/>
    </w:rPr>
  </w:style>
  <w:style w:styleId="Style_47" w:type="paragraph">
    <w:name w:val="Title"/>
    <w:basedOn w:val="Style_5"/>
    <w:next w:val="Style_12"/>
    <w:link w:val="Style_47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47_ch" w:type="character">
    <w:name w:val="Title"/>
    <w:basedOn w:val="Style_5_ch"/>
    <w:link w:val="Style_47"/>
    <w:rPr>
      <w:rFonts w:ascii="Arial" w:hAnsi="Arial"/>
      <w:sz w:val="28"/>
    </w:rPr>
  </w:style>
  <w:style w:styleId="Style_48" w:type="paragraph">
    <w:name w:val="heading 4"/>
    <w:basedOn w:val="Style_5"/>
    <w:next w:val="Style_5"/>
    <w:link w:val="Style_48_ch"/>
    <w:uiPriority w:val="9"/>
    <w:qFormat/>
    <w:pPr>
      <w:keepNext w:val="1"/>
      <w:widowControl w:val="1"/>
      <w:spacing w:after="60" w:before="240"/>
      <w:ind/>
      <w:outlineLvl w:val="3"/>
    </w:pPr>
    <w:rPr>
      <w:b w:val="1"/>
      <w:sz w:val="28"/>
    </w:rPr>
  </w:style>
  <w:style w:styleId="Style_48_ch" w:type="character">
    <w:name w:val="heading 4"/>
    <w:basedOn w:val="Style_5_ch"/>
    <w:link w:val="Style_48"/>
    <w:rPr>
      <w:b w:val="1"/>
      <w:sz w:val="28"/>
    </w:rPr>
  </w:style>
  <w:style w:styleId="Style_49" w:type="paragraph">
    <w:name w:val="Название1"/>
    <w:basedOn w:val="Style_5"/>
    <w:link w:val="Style_49_ch"/>
    <w:pPr>
      <w:widowControl w:val="1"/>
      <w:spacing w:after="120" w:before="120"/>
      <w:ind/>
    </w:pPr>
    <w:rPr>
      <w:rFonts w:ascii="Arial" w:hAnsi="Arial"/>
      <w:i w:val="1"/>
      <w:sz w:val="20"/>
    </w:rPr>
  </w:style>
  <w:style w:styleId="Style_49_ch" w:type="character">
    <w:name w:val="Название1"/>
    <w:basedOn w:val="Style_5_ch"/>
    <w:link w:val="Style_49"/>
    <w:rPr>
      <w:rFonts w:ascii="Arial" w:hAnsi="Arial"/>
      <w:i w:val="1"/>
      <w:sz w:val="20"/>
    </w:rPr>
  </w:style>
  <w:style w:styleId="Style_50" w:type="paragraph">
    <w:name w:val="heading 2"/>
    <w:next w:val="Style_5"/>
    <w:link w:val="Style_5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0_ch" w:type="character">
    <w:name w:val="heading 2"/>
    <w:link w:val="Style_50"/>
    <w:rPr>
      <w:rFonts w:ascii="XO Thames" w:hAnsi="XO Thames"/>
      <w:b w:val="1"/>
      <w:sz w:val="28"/>
    </w:rPr>
  </w:style>
  <w:style w:styleId="Style_51" w:type="paragraph">
    <w:name w:val="WW8NumSt5z0"/>
    <w:link w:val="Style_51_ch"/>
    <w:rPr>
      <w:rFonts w:ascii="Times New Roman" w:hAnsi="Times New Roman"/>
    </w:rPr>
  </w:style>
  <w:style w:styleId="Style_51_ch" w:type="character">
    <w:name w:val="WW8NumSt5z0"/>
    <w:link w:val="Style_51"/>
    <w:rPr>
      <w:rFonts w:ascii="Times New Roman" w:hAnsi="Times New Roman"/>
    </w:rPr>
  </w:style>
  <w:style w:styleId="Style_52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2026-09-14T09:39:10Z</dcterms:created>
  <dcterms:modified xsi:type="dcterms:W3CDTF">2026-09-14T09:39:10Z</dcterms:modified>
</cp:coreProperties>
</file>