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              </w:t>
      </w:r>
      <w:r>
        <w:rPr>
          <w:b w:val="1"/>
          <w:sz w:val="22"/>
        </w:rPr>
        <w:t>Раздел № 3</w:t>
      </w:r>
    </w:p>
    <w:p w14:paraId="05000000">
      <w:pPr>
        <w:ind/>
        <w:jc w:val="right"/>
        <w:rPr>
          <w:b w:val="1"/>
          <w:sz w:val="22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Ресурсное обеспечение реализации муниципальной программы</w:t>
      </w:r>
    </w:p>
    <w:p w14:paraId="07000000">
      <w:pPr>
        <w:ind/>
        <w:jc w:val="center"/>
        <w:rPr>
          <w:b w:val="1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2781"/>
        <w:gridCol w:w="1723"/>
        <w:gridCol w:w="1843"/>
        <w:gridCol w:w="1559"/>
        <w:gridCol w:w="1559"/>
        <w:gridCol w:w="1418"/>
        <w:gridCol w:w="1276"/>
      </w:tblGrid>
      <w:tr>
        <w:tc>
          <w:tcPr>
            <w:tcW w:type="dxa" w:w="2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ind w:firstLine="0" w:left="-228"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муниципальной программы, подпрограммы,</w:t>
            </w:r>
          </w:p>
          <w:p w14:paraId="09000000">
            <w:pPr>
              <w:ind w:firstLine="0" w:left="-228"/>
              <w:jc w:val="center"/>
              <w:rPr>
                <w:b w:val="1"/>
              </w:rPr>
            </w:pPr>
            <w:r>
              <w:rPr>
                <w:b w:val="1"/>
              </w:rPr>
              <w:t>мероприятия</w:t>
            </w:r>
          </w:p>
        </w:tc>
        <w:tc>
          <w:tcPr>
            <w:tcW w:type="dxa" w:w="2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Источник финансирования</w:t>
            </w:r>
          </w:p>
        </w:tc>
        <w:tc>
          <w:tcPr>
            <w:tcW w:type="dxa" w:w="937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Объем финансовых ресурсов,</w:t>
            </w:r>
          </w:p>
          <w:p w14:paraId="0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тыс. рублей</w:t>
            </w:r>
          </w:p>
        </w:tc>
      </w:tr>
      <w:tr>
        <w:trPr>
          <w:trHeight w:hRule="atLeast" w:val="970"/>
        </w:trP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2022</w:t>
            </w:r>
          </w:p>
          <w:p w14:paraId="0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</w:t>
            </w:r>
            <w:r>
              <w:rPr>
                <w:b w:val="1"/>
              </w:rPr>
              <w:t>3</w:t>
            </w:r>
          </w:p>
          <w:p w14:paraId="1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</w:t>
            </w:r>
            <w:r>
              <w:rPr>
                <w:b w:val="1"/>
              </w:rPr>
              <w:t>4</w:t>
            </w:r>
          </w:p>
          <w:p w14:paraId="1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</w:t>
            </w:r>
          </w:p>
          <w:p w14:paraId="1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2026</w:t>
            </w:r>
          </w:p>
          <w:p w14:paraId="1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2027</w:t>
            </w:r>
          </w:p>
          <w:p w14:paraId="1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</w:tr>
      <w:t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</w:tr>
      <w:tr>
        <w:trPr>
          <w:trHeight w:hRule="atLeast" w:val="431"/>
        </w:trPr>
        <w:tc>
          <w:tcPr>
            <w:tcW w:type="dxa" w:w="2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r>
              <w:t xml:space="preserve">Муниципальная программа «Развитие сферы малого и среднего предпринимательства в Крапивинском </w:t>
            </w:r>
            <w:r>
              <w:t xml:space="preserve">муниципальном </w:t>
            </w:r>
            <w:r>
              <w:t>округе» на 20</w:t>
            </w:r>
            <w:r>
              <w:t>22</w:t>
            </w:r>
            <w:r>
              <w:t>-202</w:t>
            </w:r>
            <w:r>
              <w:t>7</w:t>
            </w:r>
            <w:r>
              <w:t xml:space="preserve"> годы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r>
              <w:t>Всего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/>
              <w:jc w:val="center"/>
            </w:pPr>
            <w:r>
              <w:t>0</w:t>
            </w:r>
            <w:r>
              <w:t>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t>60,0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r>
              <w:t>местный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</w:pPr>
            <w:r>
              <w:t>0</w:t>
            </w:r>
            <w:r>
              <w:t>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60</w:t>
            </w:r>
            <w:r>
              <w:t>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60,0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r>
              <w:t>иные не запрещенные законодательством источники: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r>
              <w:t>федеральный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r>
              <w:t>областной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</w:p>
        </w:tc>
      </w:tr>
      <w:tr>
        <w:trPr>
          <w:trHeight w:hRule="atLeast" w:val="503"/>
        </w:trPr>
        <w:tc>
          <w:tcPr>
            <w:tcW w:type="dxa" w:w="2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r>
              <w:t>1.Мероприятие:</w:t>
            </w:r>
          </w:p>
          <w:p w14:paraId="46000000">
            <w:r>
              <w:t>Организация и проведение по популяризации предпринимательской деятельности среди различных групп населения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r>
              <w:t>Всего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6</w:t>
            </w:r>
            <w: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</w:pPr>
            <w:r>
              <w:t>60,0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r>
              <w:t>местный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</w:pPr>
            <w:r>
              <w:t>0</w:t>
            </w:r>
            <w:r>
              <w:t>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</w:pPr>
            <w:r>
              <w:t>6</w:t>
            </w:r>
            <w: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60,0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r>
              <w:t>иные не запрещенные законодательством источники: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r>
              <w:t>федеральный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r>
              <w:t>областной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561"/>
        </w:trPr>
        <w:tc>
          <w:tcPr>
            <w:tcW w:type="dxa" w:w="2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r>
              <w:t>1.1.Предоставление субсидий</w:t>
            </w:r>
          </w:p>
          <w:p w14:paraId="6B000000">
            <w:r>
              <w:t xml:space="preserve">субъектам </w:t>
            </w:r>
          </w:p>
          <w:p w14:paraId="6C000000">
            <w:pPr>
              <w:rPr>
                <w:highlight w:val="cyan"/>
              </w:rPr>
            </w:pPr>
            <w:r>
              <w:t>малого и среднего предпринимательства на участие в выставках и ярмарках</w:t>
            </w:r>
            <w:r>
              <w:t>,</w:t>
            </w:r>
            <w:r>
              <w:t xml:space="preserve"> в</w:t>
            </w:r>
            <w:r>
              <w:t xml:space="preserve"> спартакиадах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r>
              <w:t>всего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  <w:r>
              <w:t>0</w:t>
            </w:r>
            <w:r>
              <w:t>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r>
              <w:t>местный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</w:pPr>
            <w:r>
              <w:t>0</w:t>
            </w:r>
            <w:r>
              <w:t>,0</w:t>
            </w:r>
          </w:p>
        </w:tc>
      </w:tr>
      <w:tr>
        <w:trPr>
          <w:trHeight w:hRule="atLeast" w:val="489"/>
        </w:trPr>
        <w:tc>
          <w:tcPr>
            <w:tcW w:type="dxa" w:w="2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rPr>
                <w:highlight w:val="cyan"/>
              </w:rPr>
            </w:pPr>
            <w:r>
              <w:t>1.2.</w:t>
            </w:r>
            <w:r>
              <w:t xml:space="preserve"> Реализация отдельных мероприятий, привлечение субъектов малого и среднего</w:t>
            </w:r>
            <w:r>
              <w:t xml:space="preserve"> предпринимательства к участию в конкурсах, </w:t>
            </w:r>
            <w:r>
              <w:t>выставках, ярмарках,</w:t>
            </w:r>
            <w:r>
              <w:t xml:space="preserve"> форумах, спартакиадах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r>
              <w:t>Всего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>4</w:t>
            </w:r>
            <w:r>
              <w:t>0</w:t>
            </w:r>
            <w:r>
              <w:t>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</w:pPr>
            <w:r>
              <w:t>4</w:t>
            </w:r>
            <w: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</w:pPr>
            <w:r>
              <w:t>4</w:t>
            </w:r>
            <w:r>
              <w:t>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r>
              <w:t>местный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  <w:r>
              <w:t>4</w:t>
            </w:r>
            <w:r>
              <w:t>0,</w:t>
            </w: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</w:pPr>
            <w:r>
              <w:t>4</w:t>
            </w:r>
            <w: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</w:pPr>
            <w:r>
              <w:t>4</w:t>
            </w:r>
            <w:r>
              <w:t>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r>
              <w:t>иные не запрещенные законодательством источники: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r>
              <w:t>федеральный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r>
              <w:t>областной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441"/>
        </w:trPr>
        <w:tc>
          <w:tcPr>
            <w:tcW w:type="dxa" w:w="2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r>
              <w:t>1.3.</w:t>
            </w:r>
            <w:r>
              <w:t xml:space="preserve">Информационная поддержка субъектов малого и среднего предпринимательства 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r>
              <w:t>Всего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</w:pPr>
            <w:r>
              <w:t>20,0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r>
              <w:t>местный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</w:pPr>
            <w:r>
              <w:t>2</w:t>
            </w:r>
            <w:r>
              <w:t>0,0</w:t>
            </w:r>
          </w:p>
        </w:tc>
      </w:tr>
    </w:tbl>
    <w:p w14:paraId="AE000000">
      <w:pPr>
        <w:ind w:firstLine="0" w:left="720"/>
        <w:jc w:val="center"/>
        <w:rPr>
          <w:sz w:val="28"/>
        </w:rPr>
      </w:pPr>
    </w:p>
    <w:p w14:paraId="AF000000">
      <w:pPr>
        <w:ind/>
        <w:jc w:val="center"/>
        <w:rPr>
          <w:b w:val="1"/>
          <w:sz w:val="28"/>
        </w:rPr>
      </w:pPr>
    </w:p>
    <w:p w14:paraId="B0000000">
      <w:pPr>
        <w:ind/>
        <w:jc w:val="center"/>
        <w:rPr>
          <w:b w:val="1"/>
          <w:sz w:val="28"/>
        </w:rPr>
      </w:pPr>
    </w:p>
    <w:p w14:paraId="B1000000">
      <w:pPr>
        <w:ind/>
        <w:jc w:val="center"/>
        <w:rPr>
          <w:b w:val="1"/>
          <w:sz w:val="28"/>
        </w:rPr>
      </w:pPr>
    </w:p>
    <w:p w14:paraId="B2000000">
      <w:pPr>
        <w:ind/>
        <w:jc w:val="center"/>
        <w:rPr>
          <w:b w:val="1"/>
          <w:sz w:val="28"/>
        </w:rPr>
      </w:pPr>
    </w:p>
    <w:p w14:paraId="B3000000">
      <w:pPr>
        <w:ind/>
        <w:jc w:val="center"/>
        <w:rPr>
          <w:b w:val="1"/>
          <w:sz w:val="28"/>
        </w:rPr>
      </w:pPr>
    </w:p>
    <w:p w14:paraId="B4000000">
      <w:pPr>
        <w:ind/>
        <w:jc w:val="center"/>
        <w:rPr>
          <w:b w:val="1"/>
          <w:sz w:val="28"/>
        </w:rPr>
      </w:pPr>
    </w:p>
    <w:p w14:paraId="B5000000">
      <w:pPr>
        <w:ind/>
        <w:jc w:val="center"/>
        <w:rPr>
          <w:b w:val="1"/>
          <w:sz w:val="28"/>
        </w:rPr>
      </w:pPr>
    </w:p>
    <w:p w14:paraId="B6000000">
      <w:pPr>
        <w:ind/>
        <w:jc w:val="center"/>
        <w:rPr>
          <w:b w:val="1"/>
          <w:sz w:val="28"/>
        </w:rPr>
      </w:pPr>
    </w:p>
    <w:p w14:paraId="B7000000">
      <w:pPr>
        <w:ind/>
        <w:jc w:val="center"/>
        <w:rPr>
          <w:b w:val="1"/>
          <w:sz w:val="28"/>
        </w:rPr>
      </w:pPr>
    </w:p>
    <w:p w14:paraId="B8000000">
      <w:pPr>
        <w:ind/>
        <w:jc w:val="center"/>
        <w:rPr>
          <w:b w:val="1"/>
          <w:sz w:val="28"/>
        </w:rPr>
      </w:pPr>
    </w:p>
    <w:p w14:paraId="B9000000">
      <w:pPr>
        <w:ind/>
        <w:jc w:val="center"/>
        <w:rPr>
          <w:b w:val="1"/>
          <w:sz w:val="28"/>
        </w:rPr>
      </w:pPr>
    </w:p>
    <w:p w14:paraId="BA000000">
      <w:pPr>
        <w:ind/>
        <w:jc w:val="center"/>
        <w:rPr>
          <w:b w:val="1"/>
          <w:sz w:val="28"/>
        </w:rPr>
      </w:pPr>
    </w:p>
    <w:p w14:paraId="BB000000">
      <w:pPr>
        <w:ind/>
        <w:jc w:val="center"/>
        <w:rPr>
          <w:b w:val="1"/>
          <w:sz w:val="28"/>
        </w:rPr>
      </w:pPr>
    </w:p>
    <w:p w14:paraId="BC000000">
      <w:pPr>
        <w:ind/>
        <w:jc w:val="center"/>
        <w:rPr>
          <w:b w:val="1"/>
          <w:sz w:val="28"/>
        </w:rPr>
      </w:pPr>
    </w:p>
    <w:p w14:paraId="BD000000">
      <w:pPr>
        <w:ind/>
        <w:jc w:val="center"/>
        <w:rPr>
          <w:b w:val="1"/>
          <w:sz w:val="28"/>
        </w:rPr>
      </w:pPr>
    </w:p>
    <w:p w14:paraId="BE000000">
      <w:pPr>
        <w:ind/>
        <w:jc w:val="center"/>
        <w:rPr>
          <w:b w:val="1"/>
          <w:sz w:val="28"/>
        </w:rPr>
      </w:pPr>
    </w:p>
    <w:p w14:paraId="BF000000">
      <w:pPr>
        <w:ind w:firstLine="0" w:left="720"/>
        <w:jc w:val="right"/>
        <w:rPr>
          <w:b w:val="1"/>
          <w:sz w:val="22"/>
        </w:rPr>
      </w:pPr>
      <w:bookmarkStart w:id="1" w:name="Par260"/>
      <w:bookmarkEnd w:id="1"/>
      <w:r>
        <w:rPr>
          <w:b w:val="1"/>
          <w:sz w:val="22"/>
        </w:rPr>
        <w:t>Раздел № 4</w:t>
      </w:r>
    </w:p>
    <w:p w14:paraId="C0000000">
      <w:pPr>
        <w:ind w:firstLine="0" w:left="720"/>
        <w:jc w:val="right"/>
        <w:rPr>
          <w:b w:val="1"/>
          <w:sz w:val="22"/>
        </w:rPr>
      </w:pPr>
    </w:p>
    <w:p w14:paraId="C1000000">
      <w:pPr>
        <w:ind w:firstLine="0" w:left="720"/>
        <w:jc w:val="right"/>
        <w:rPr>
          <w:b w:val="1"/>
          <w:sz w:val="22"/>
        </w:rPr>
      </w:pPr>
    </w:p>
    <w:p w14:paraId="C2000000">
      <w:pPr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C3000000">
      <w:pPr>
        <w:ind w:firstLine="0" w:left="720"/>
        <w:jc w:val="center"/>
        <w:rPr>
          <w:b w:val="1"/>
          <w:sz w:val="28"/>
        </w:rPr>
      </w:pPr>
    </w:p>
    <w:tbl>
      <w:tblPr>
        <w:tblStyle w:val="Style_2"/>
        <w:tblpPr w:bottomFromText="0" w:horzAnchor="text" w:leftFromText="180" w:rightFromText="180" w:tblpXSpec="left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18"/>
        <w:gridCol w:w="2879"/>
        <w:gridCol w:w="983"/>
        <w:gridCol w:w="1383"/>
        <w:gridCol w:w="1417"/>
        <w:gridCol w:w="1418"/>
        <w:gridCol w:w="1134"/>
        <w:gridCol w:w="1134"/>
        <w:gridCol w:w="1134"/>
      </w:tblGrid>
      <w:tr>
        <w:trPr>
          <w:trHeight w:hRule="atLeast" w:val="277"/>
        </w:trPr>
        <w:tc>
          <w:tcPr>
            <w:tcW w:type="dxa" w:w="2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</w:t>
            </w:r>
          </w:p>
          <w:p w14:paraId="C5000000">
            <w:r>
              <w:rPr>
                <w:b w:val="1"/>
              </w:rPr>
              <w:t>мероприятия</w:t>
            </w:r>
          </w:p>
        </w:tc>
        <w:tc>
          <w:tcPr>
            <w:tcW w:type="dxa" w:w="28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r>
              <w:rPr>
                <w:b w:val="1"/>
              </w:rPr>
              <w:t>Наименование целевого показателя (индикатора</w:t>
            </w:r>
          </w:p>
        </w:tc>
        <w:tc>
          <w:tcPr>
            <w:tcW w:type="dxa" w:w="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14:paraId="C8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762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631"/>
        </w:trPr>
        <w:tc>
          <w:tcPr>
            <w:tcW w:type="dxa" w:w="2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</w:t>
            </w:r>
            <w:r>
              <w:rPr>
                <w:rFonts w:ascii="Times New Roman" w:hAnsi="Times New Roman"/>
                <w:b w:val="1"/>
              </w:rPr>
              <w:t>2</w:t>
            </w:r>
          </w:p>
          <w:p w14:paraId="CB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tabs>
                <w:tab w:leader="none" w:pos="492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202</w:t>
            </w:r>
            <w:r>
              <w:rPr>
                <w:b w:val="1"/>
              </w:rPr>
              <w:t>3</w:t>
            </w:r>
          </w:p>
          <w:p w14:paraId="CD000000">
            <w:pPr>
              <w:tabs>
                <w:tab w:leader="none" w:pos="492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>2024</w:t>
            </w:r>
          </w:p>
          <w:p w14:paraId="CF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 xml:space="preserve">2025 </w:t>
            </w:r>
          </w:p>
          <w:p w14:paraId="D1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>2026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>2027</w:t>
            </w:r>
          </w:p>
          <w:p w14:paraId="D4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</w:tr>
      <w:tr>
        <w:trPr>
          <w:trHeight w:hRule="atLeast" w:val="136"/>
        </w:trP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</w:p>
        </w:tc>
      </w:tr>
      <w:tr>
        <w:trPr>
          <w:trHeight w:hRule="atLeast" w:val="440"/>
        </w:trPr>
        <w:tc>
          <w:tcPr>
            <w:tcW w:type="dxa" w:w="1059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r>
              <w:t xml:space="preserve">Муниципальная </w:t>
            </w:r>
            <w:r>
              <w:t>про</w:t>
            </w:r>
            <w:r>
              <w:t xml:space="preserve">грамма «Развитие сферы малого и </w:t>
            </w:r>
            <w:r>
              <w:t>среднего предпринимательства</w:t>
            </w:r>
            <w:r>
              <w:t xml:space="preserve"> в Крапивинском муниципальном округе» на 2022 -</w:t>
            </w:r>
            <w:r>
              <w:t>20</w:t>
            </w:r>
            <w:r>
              <w:t>2</w:t>
            </w:r>
            <w:r>
              <w:t>7</w:t>
            </w:r>
            <w:r>
              <w:t xml:space="preserve"> годы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30"/>
        </w:trPr>
        <w:tc>
          <w:tcPr>
            <w:tcW w:type="dxa" w:w="2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r>
              <w:t>1.</w:t>
            </w:r>
            <w:r>
              <w:t xml:space="preserve"> Мероприятие:</w:t>
            </w:r>
            <w:r>
              <w:t xml:space="preserve"> </w:t>
            </w:r>
            <w:r>
              <w:t>Организация и проведение по популяризации предпринимательской деятельности среди различных групп населения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субъектов малого и среднего предпринимательства на 10 тыс. человек населения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</w:pPr>
            <w:r>
              <w:t>142,2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</w:pPr>
            <w:r>
              <w:t>142,5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</w:pPr>
            <w:r>
              <w:t>14</w:t>
            </w:r>
            <w:r>
              <w:t>3</w:t>
            </w:r>
            <w:r>
              <w:t>,</w:t>
            </w:r>
            <w: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</w:pPr>
            <w:r>
              <w:t>143,8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</w:pPr>
            <w:r>
              <w:t>143,9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</w:pPr>
            <w:r>
              <w:t>144,0</w:t>
            </w:r>
          </w:p>
        </w:tc>
      </w:tr>
      <w:tr>
        <w:trPr>
          <w:trHeight w:hRule="atLeast" w:val="72"/>
        </w:trPr>
        <w:tc>
          <w:tcPr>
            <w:tcW w:type="dxa" w:w="2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среднесписочной численности </w:t>
            </w:r>
          </w:p>
          <w:p w14:paraId="E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работников (без </w:t>
            </w:r>
          </w:p>
          <w:p w14:paraId="E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внешних </w:t>
            </w:r>
          </w:p>
          <w:p w14:paraId="E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совместителей) малых </w:t>
            </w:r>
          </w:p>
          <w:p w14:paraId="E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средних </w:t>
            </w:r>
          </w:p>
          <w:p w14:paraId="E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предприятий</w:t>
            </w:r>
          </w:p>
          <w:p w14:paraId="E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среднесписочной численности </w:t>
            </w:r>
          </w:p>
          <w:p w14:paraId="E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работников (без </w:t>
            </w:r>
          </w:p>
          <w:p w14:paraId="F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внешних </w:t>
            </w:r>
          </w:p>
          <w:p w14:paraId="F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совместителей) всех предприятий и организаций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</w:pPr>
            <w:r>
              <w:t>%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</w:pPr>
            <w:r>
              <w:t>40,1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</w:pPr>
            <w:r>
              <w:t>40,1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</w:pPr>
            <w:r>
              <w:t>40,1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</w:pPr>
            <w:r>
              <w:t>40,1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</w:pPr>
            <w:r>
              <w:t>40,1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</w:pPr>
            <w:r>
              <w:t>40,1</w:t>
            </w:r>
          </w:p>
        </w:tc>
      </w:tr>
      <w:tr>
        <w:trPr>
          <w:trHeight w:hRule="atLeast" w:val="1388"/>
        </w:trPr>
        <w:tc>
          <w:tcPr>
            <w:tcW w:type="dxa" w:w="2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rPr>
                <w:highlight w:val="yellow"/>
              </w:rPr>
            </w:pPr>
            <w:r>
              <w:t>1.1. Предоставление субсидий субъектам малого и среднего предпринимательства на участие в выставках и ярмарках</w:t>
            </w:r>
            <w:r>
              <w:t>, спартакиадах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субъектов малого и среднего предпринимательства,  </w:t>
            </w:r>
          </w:p>
          <w:p w14:paraId="F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получивших финансовую поддержку, для возмещения части затрат на участие в выставках и ярмарках</w:t>
            </w:r>
            <w:r>
              <w:rPr>
                <w:rFonts w:ascii="Times New Roman" w:hAnsi="Times New Roman"/>
              </w:rPr>
              <w:t>, в спартакиадах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FC000000">
            <w:pPr>
              <w:ind/>
              <w:jc w:val="center"/>
            </w:pP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/>
              <w:jc w:val="center"/>
            </w:pPr>
            <w: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604"/>
        </w:trPr>
        <w:tc>
          <w:tcPr>
            <w:tcW w:type="dxa" w:w="2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r>
              <w:t>Доля расходов в целях предоставления субъектам малого и среднего предпринимательства на участие в выставках и ярмарках, предусмотренных муниципальной программой в общих расходах муниципальной программы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</w:pPr>
            <w:r>
              <w:t>%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</w:pPr>
            <w:r>
              <w:t>5</w:t>
            </w: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</w:pPr>
            <w:r>
              <w:t>42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72"/>
        </w:trP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rPr>
                <w:highlight w:val="yellow"/>
              </w:rPr>
            </w:pPr>
            <w:r>
              <w:t>1.</w:t>
            </w:r>
            <w:r>
              <w:t>2</w:t>
            </w:r>
            <w:r>
              <w:t xml:space="preserve">. </w:t>
            </w:r>
            <w:r>
              <w:t>Реализация отдельных мероприятий, привлечение субъектов малого и среднего предпринимательства к участию в конкурсах, выставках, ярмарках, форумах, спартакиадах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r>
              <w:t>Количество субъектов малого и среднего предпринимательств</w:t>
            </w:r>
            <w:r>
              <w:t>а - участников в мероприятиях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</w:pPr>
            <w: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</w:pPr>
            <w: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</w:pPr>
            <w: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1104"/>
        </w:trP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widowControl w:val="0"/>
              <w:ind/>
              <w:rPr>
                <w:highlight w:val="yellow"/>
              </w:rPr>
            </w:pPr>
            <w:r>
              <w:t xml:space="preserve">1.3. </w:t>
            </w:r>
            <w:r>
              <w:t>Информационная поддержка субъектов малого и среднего предпринима</w:t>
            </w:r>
            <w:r>
              <w:t>т</w:t>
            </w:r>
            <w:r>
              <w:t>ельства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r>
              <w:t>Количество опубликованных материалов в средствах массовой информации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</w:pPr>
            <w:r>
              <w:t>21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</w:pPr>
            <w:r>
              <w:t>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center"/>
            </w:pPr>
            <w:r>
              <w:t>55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</w:pPr>
            <w:r>
              <w:t>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</w:pPr>
            <w:r>
              <w:t>6</w:t>
            </w: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</w:pPr>
            <w:r>
              <w:t>70</w:t>
            </w:r>
          </w:p>
        </w:tc>
      </w:tr>
      <w:tr>
        <w:trPr>
          <w:trHeight w:hRule="atLeast" w:val="1104"/>
        </w:trP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widowControl w:val="0"/>
              <w:ind w:right="-74"/>
              <w:rPr>
                <w:highlight w:val="yellow"/>
              </w:rPr>
            </w:pPr>
            <w:r>
              <w:t xml:space="preserve">1.4. Консультационная </w:t>
            </w:r>
            <w:r>
              <w:t>поддержка субъектов малого и среднего предпринима</w:t>
            </w:r>
            <w:r>
              <w:t>т</w:t>
            </w:r>
            <w:r>
              <w:t>ельства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подготовленных пакетов документов 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ind/>
              <w:jc w:val="center"/>
            </w:pPr>
            <w:r>
              <w:t>41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ind/>
              <w:jc w:val="center"/>
            </w:pPr>
            <w:r>
              <w:t>42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ind/>
              <w:jc w:val="center"/>
            </w:pPr>
            <w:r>
              <w:t>75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</w:pPr>
            <w:r>
              <w:t>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</w:pPr>
            <w:r>
              <w:t>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</w:pPr>
            <w:r>
              <w:t>80</w:t>
            </w:r>
          </w:p>
        </w:tc>
      </w:tr>
      <w:tr>
        <w:trPr>
          <w:trHeight w:hRule="atLeast" w:val="72"/>
        </w:trP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widowControl w:val="0"/>
              <w:ind w:right="-74"/>
              <w:rPr>
                <w:highlight w:val="yellow"/>
              </w:rPr>
            </w:pPr>
            <w:r>
              <w:t>1.5.</w:t>
            </w:r>
            <w:r>
              <w:t xml:space="preserve"> Популяризация предпринимательской деятельности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 w:firstLine="0" w:left="55" w:right="142"/>
              <w:rPr>
                <w:color w:val="000000"/>
                <w:highlight w:val="yellow"/>
              </w:rPr>
            </w:pPr>
            <w:r>
              <w:t xml:space="preserve">Доля закупок у субъектов малого и среднего предпринимательства в общем годовом стоимостном объеме закупок не менее </w:t>
            </w:r>
            <w:r>
              <w:t>2</w:t>
            </w:r>
            <w:r>
              <w:t>5%.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</w:pPr>
            <w:r>
              <w:t>%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</w:pPr>
            <w:r>
              <w:t>15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</w:pPr>
            <w:r>
              <w:t>2</w:t>
            </w:r>
            <w: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center"/>
            </w:pPr>
            <w:r>
              <w:t>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</w:pPr>
            <w:r>
              <w:t>2</w:t>
            </w: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</w:pPr>
            <w:r>
              <w:t>2</w:t>
            </w: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  <w:r>
              <w:t>25</w:t>
            </w:r>
          </w:p>
        </w:tc>
      </w:tr>
      <w:tr>
        <w:trPr>
          <w:trHeight w:hRule="atLeast" w:val="72"/>
        </w:trP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tabs>
                <w:tab w:leader="none" w:pos="540" w:val="left"/>
              </w:tabs>
              <w:ind/>
            </w:pPr>
            <w:r>
              <w:t>2</w:t>
            </w:r>
            <w:r>
              <w:t>.</w:t>
            </w:r>
            <w:r>
              <w:t xml:space="preserve"> </w:t>
            </w:r>
            <w:r>
              <w:t>Мероприятие: Организация образовательных курсов и семинаров для руководителей и специалистов организаций и индивидуальных</w:t>
            </w:r>
            <w:r>
              <w:t xml:space="preserve"> предпринимателей, </w:t>
            </w:r>
            <w:r>
              <w:t>граждан, желающих организовать</w:t>
            </w:r>
            <w:r>
              <w:t xml:space="preserve"> собственный бизнес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образовательных мероприятий</w:t>
            </w:r>
          </w:p>
          <w:p w14:paraId="32010000">
            <w:pPr>
              <w:pStyle w:val="Style_4"/>
              <w:rPr>
                <w:rFonts w:ascii="Times New Roman" w:hAnsi="Times New Roman"/>
              </w:rPr>
            </w:pPr>
          </w:p>
          <w:p w14:paraId="33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</w:pPr>
            <w:r>
              <w:t>1</w:t>
            </w:r>
            <w: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</w:pPr>
            <w:r>
              <w:t>10</w:t>
            </w:r>
          </w:p>
        </w:tc>
      </w:tr>
    </w:tbl>
    <w:p w14:paraId="3B010000">
      <w:pPr>
        <w:ind/>
        <w:jc w:val="center"/>
        <w:rPr>
          <w:sz w:val="36"/>
        </w:rPr>
      </w:pPr>
    </w:p>
    <w:p w14:paraId="3C010000">
      <w:pPr>
        <w:ind/>
        <w:jc w:val="center"/>
        <w:rPr>
          <w:sz w:val="36"/>
        </w:rPr>
      </w:pPr>
    </w:p>
    <w:p w14:paraId="3D010000">
      <w:pPr>
        <w:ind/>
        <w:jc w:val="center"/>
        <w:rPr>
          <w:sz w:val="36"/>
        </w:rPr>
      </w:pPr>
    </w:p>
    <w:p w14:paraId="3E010000">
      <w:pPr>
        <w:ind/>
        <w:jc w:val="center"/>
        <w:rPr>
          <w:sz w:val="36"/>
        </w:rPr>
      </w:pPr>
    </w:p>
    <w:p w14:paraId="3F010000">
      <w:pPr>
        <w:ind/>
        <w:jc w:val="center"/>
        <w:rPr>
          <w:sz w:val="36"/>
        </w:rPr>
      </w:pPr>
    </w:p>
    <w:p w14:paraId="40010000">
      <w:pPr>
        <w:ind/>
        <w:jc w:val="center"/>
        <w:rPr>
          <w:sz w:val="36"/>
        </w:rPr>
      </w:pPr>
    </w:p>
    <w:p w14:paraId="41010000">
      <w:pPr>
        <w:ind/>
        <w:jc w:val="center"/>
        <w:rPr>
          <w:sz w:val="36"/>
        </w:rPr>
      </w:pPr>
    </w:p>
    <w:p w14:paraId="42010000">
      <w:pPr>
        <w:ind/>
        <w:jc w:val="center"/>
        <w:rPr>
          <w:sz w:val="36"/>
        </w:rPr>
      </w:pPr>
    </w:p>
    <w:p w14:paraId="43010000">
      <w:pPr>
        <w:ind/>
        <w:jc w:val="center"/>
        <w:rPr>
          <w:sz w:val="36"/>
        </w:rPr>
      </w:pPr>
    </w:p>
    <w:p w14:paraId="44010000">
      <w:pPr>
        <w:ind/>
        <w:jc w:val="center"/>
        <w:rPr>
          <w:sz w:val="36"/>
        </w:rPr>
      </w:pPr>
    </w:p>
    <w:p w14:paraId="45010000">
      <w:pPr>
        <w:ind/>
        <w:jc w:val="center"/>
        <w:rPr>
          <w:sz w:val="36"/>
        </w:rPr>
      </w:pPr>
    </w:p>
    <w:p w14:paraId="46010000">
      <w:pPr>
        <w:rPr>
          <w:sz w:val="36"/>
        </w:rPr>
      </w:pPr>
    </w:p>
    <w:p w14:paraId="47010000">
      <w:pPr>
        <w:ind/>
        <w:jc w:val="center"/>
        <w:rPr>
          <w:sz w:val="36"/>
        </w:rPr>
      </w:pPr>
    </w:p>
    <w:p w14:paraId="48010000">
      <w:pPr>
        <w:ind/>
        <w:jc w:val="center"/>
        <w:rPr>
          <w:sz w:val="36"/>
        </w:rPr>
      </w:pPr>
    </w:p>
    <w:p w14:paraId="49010000">
      <w:pPr>
        <w:ind/>
        <w:jc w:val="center"/>
        <w:rPr>
          <w:sz w:val="36"/>
        </w:rPr>
      </w:pPr>
    </w:p>
    <w:p w14:paraId="4A010000">
      <w:pPr>
        <w:ind/>
        <w:jc w:val="center"/>
        <w:rPr>
          <w:sz w:val="36"/>
        </w:rPr>
      </w:pPr>
    </w:p>
    <w:p w14:paraId="4B010000">
      <w:pPr>
        <w:ind/>
        <w:jc w:val="center"/>
        <w:rPr>
          <w:sz w:val="36"/>
        </w:rPr>
      </w:pPr>
    </w:p>
    <w:p w14:paraId="4C010000">
      <w:pPr>
        <w:ind/>
        <w:jc w:val="center"/>
        <w:rPr>
          <w:sz w:val="36"/>
        </w:rPr>
      </w:pPr>
    </w:p>
    <w:p w14:paraId="4D010000">
      <w:pPr>
        <w:ind/>
        <w:jc w:val="center"/>
        <w:rPr>
          <w:sz w:val="36"/>
        </w:rPr>
      </w:pPr>
    </w:p>
    <w:p w14:paraId="4E010000">
      <w:pPr>
        <w:ind/>
        <w:jc w:val="center"/>
        <w:rPr>
          <w:sz w:val="36"/>
        </w:rPr>
      </w:pPr>
    </w:p>
    <w:p w14:paraId="4F010000">
      <w:pPr>
        <w:ind/>
        <w:jc w:val="center"/>
        <w:rPr>
          <w:sz w:val="36"/>
        </w:rPr>
      </w:pPr>
    </w:p>
    <w:p w14:paraId="50010000">
      <w:pPr>
        <w:sectPr>
          <w:headerReference r:id="rId3" w:type="default"/>
          <w:pgSz w:h="11908" w:orient="landscape" w:w="16848"/>
          <w:pgMar w:bottom="709" w:footer="709" w:gutter="0" w:header="709" w:left="1559" w:right="992" w:top="709"/>
          <w:titlePg/>
        </w:sectPr>
      </w:pPr>
    </w:p>
    <w:p w14:paraId="51010000">
      <w:pPr>
        <w:ind/>
        <w:jc w:val="center"/>
      </w:pPr>
    </w:p>
    <w:sectPr>
      <w:headerReference r:id="rId2" w:type="default"/>
      <w:pgSz w:h="11908" w:orient="landscape" w:w="16848"/>
      <w:pgMar w:bottom="709" w:footer="709" w:gutter="0" w:header="709" w:left="1559" w:right="992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9204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firstLine="0" w:left="9204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firstLine="0" w:left="9204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ody Text Indent"/>
    <w:basedOn w:val="Style_5"/>
    <w:link w:val="Style_8_ch"/>
    <w:pPr>
      <w:ind w:firstLine="720" w:left="0"/>
      <w:jc w:val="both"/>
    </w:pPr>
    <w:rPr>
      <w:sz w:val="28"/>
    </w:rPr>
  </w:style>
  <w:style w:styleId="Style_8_ch" w:type="character">
    <w:name w:val="Body Text Indent"/>
    <w:basedOn w:val="Style_5_ch"/>
    <w:link w:val="Style_8"/>
    <w:rPr>
      <w:sz w:val="28"/>
    </w:rPr>
  </w:style>
  <w:style w:styleId="Style_9" w:type="paragraph">
    <w:name w:val="heading 7"/>
    <w:basedOn w:val="Style_10"/>
    <w:next w:val="Style_10"/>
    <w:link w:val="Style_9_ch"/>
    <w:uiPriority w:val="9"/>
    <w:qFormat/>
    <w:pPr>
      <w:keepNext w:val="1"/>
      <w:widowControl w:val="0"/>
      <w:ind/>
      <w:jc w:val="both"/>
      <w:outlineLvl w:val="6"/>
    </w:pPr>
  </w:style>
  <w:style w:styleId="Style_9_ch" w:type="character">
    <w:name w:val="heading 7"/>
    <w:basedOn w:val="Style_10_ch"/>
    <w:link w:val="Style_9"/>
  </w:style>
  <w:style w:styleId="Style_11" w:type="paragraph">
    <w:name w:val="FollowedHyperlink"/>
    <w:link w:val="Style_11_ch"/>
    <w:rPr>
      <w:color w:val="800080"/>
      <w:u w:val="single"/>
    </w:rPr>
  </w:style>
  <w:style w:styleId="Style_11_ch" w:type="character">
    <w:name w:val="FollowedHyperlink"/>
    <w:link w:val="Style_11"/>
    <w:rPr>
      <w:color w:val="800080"/>
      <w:u w:val="single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Знак Знак Знак3 Знак"/>
    <w:basedOn w:val="Style_5"/>
    <w:link w:val="Style_14_ch"/>
    <w:pPr>
      <w:spacing w:after="160" w:line="240" w:lineRule="exact"/>
      <w:ind/>
    </w:pPr>
    <w:rPr>
      <w:rFonts w:ascii="Verdana" w:hAnsi="Verdana"/>
    </w:rPr>
  </w:style>
  <w:style w:styleId="Style_14_ch" w:type="character">
    <w:name w:val="Знак Знак Знак3 Знак"/>
    <w:basedOn w:val="Style_5_ch"/>
    <w:link w:val="Style_14"/>
    <w:rPr>
      <w:rFonts w:ascii="Verdana" w:hAnsi="Verdana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6_ch" w:type="character">
    <w:name w:val="heading 3"/>
    <w:basedOn w:val="Style_5_ch"/>
    <w:link w:val="Style_16"/>
    <w:rPr>
      <w:rFonts w:ascii="Arial" w:hAnsi="Arial"/>
      <w:b w:val="1"/>
      <w:sz w:val="26"/>
    </w:rPr>
  </w:style>
  <w:style w:styleId="Style_17" w:type="paragraph">
    <w:name w:val="footer"/>
    <w:basedOn w:val="Style_5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5_ch"/>
    <w:link w:val="Style_17"/>
  </w:style>
  <w:style w:styleId="Style_3" w:type="paragraph">
    <w:name w:val="Table!"/>
    <w:next w:val="Style_4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0" w:type="paragraph">
    <w:name w:val="Normal_0"/>
    <w:link w:val="Style_10_ch"/>
    <w:rPr>
      <w:sz w:val="24"/>
    </w:rPr>
  </w:style>
  <w:style w:styleId="Style_10_ch" w:type="character">
    <w:name w:val="Normal_0"/>
    <w:link w:val="Style_10"/>
    <w:rPr>
      <w:sz w:val="24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19" w:type="paragraph">
    <w:name w:val="заголовок 6"/>
    <w:basedOn w:val="Style_5"/>
    <w:next w:val="Style_5"/>
    <w:link w:val="Style_19_ch"/>
    <w:pPr>
      <w:keepNext w:val="1"/>
      <w:widowControl w:val="0"/>
      <w:ind/>
      <w:jc w:val="both"/>
    </w:pPr>
    <w:rPr>
      <w:b w:val="1"/>
    </w:rPr>
  </w:style>
  <w:style w:styleId="Style_19_ch" w:type="character">
    <w:name w:val="заголовок 6"/>
    <w:basedOn w:val="Style_5_ch"/>
    <w:link w:val="Style_19"/>
    <w:rPr>
      <w:b w:val="1"/>
    </w:rPr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basedOn w:val="Style_5"/>
    <w:next w:val="Style_5"/>
    <w:link w:val="Style_21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1_ch" w:type="character">
    <w:name w:val="heading 5"/>
    <w:basedOn w:val="Style_5_ch"/>
    <w:link w:val="Style_21"/>
    <w:rPr>
      <w:rFonts w:ascii="Calibri" w:hAnsi="Calibri"/>
      <w:b w:val="1"/>
      <w:i w:val="1"/>
      <w:sz w:val="26"/>
    </w:rPr>
  </w:style>
  <w:style w:styleId="Style_22" w:type="paragraph">
    <w:name w:val="ConsPlusCell"/>
    <w:link w:val="Style_22_ch"/>
    <w:pPr>
      <w:widowControl w:val="0"/>
      <w:ind/>
    </w:pPr>
    <w:rPr>
      <w:rFonts w:ascii="Arial" w:hAnsi="Arial"/>
    </w:rPr>
  </w:style>
  <w:style w:styleId="Style_22_ch" w:type="character">
    <w:name w:val="ConsPlusCell"/>
    <w:link w:val="Style_22"/>
    <w:rPr>
      <w:rFonts w:ascii="Arial" w:hAnsi="Arial"/>
    </w:rPr>
  </w:style>
  <w:style w:styleId="Style_23" w:type="paragraph">
    <w:name w:val="номер страницы"/>
    <w:link w:val="Style_23_ch"/>
  </w:style>
  <w:style w:styleId="Style_23_ch" w:type="character">
    <w:name w:val="номер страницы"/>
    <w:link w:val="Style_23"/>
  </w:style>
  <w:style w:styleId="Style_24" w:type="paragraph">
    <w:name w:val="heading 1"/>
    <w:basedOn w:val="Style_5"/>
    <w:next w:val="Style_5"/>
    <w:link w:val="Style_24_ch"/>
    <w:uiPriority w:val="9"/>
    <w:qFormat/>
    <w:pPr>
      <w:keepNext w:val="1"/>
      <w:ind/>
      <w:jc w:val="center"/>
      <w:outlineLvl w:val="0"/>
    </w:pPr>
    <w:rPr>
      <w:sz w:val="36"/>
    </w:rPr>
  </w:style>
  <w:style w:styleId="Style_24_ch" w:type="character">
    <w:name w:val="heading 1"/>
    <w:basedOn w:val="Style_5_ch"/>
    <w:link w:val="Style_24"/>
    <w:rPr>
      <w:sz w:val="36"/>
    </w:rPr>
  </w:style>
  <w:style w:styleId="Style_25" w:type="paragraph">
    <w:name w:val="Normal (Web)"/>
    <w:basedOn w:val="Style_5"/>
    <w:link w:val="Style_25_ch"/>
    <w:pPr>
      <w:spacing w:afterAutospacing="on" w:beforeAutospacing="on"/>
      <w:ind/>
    </w:pPr>
  </w:style>
  <w:style w:styleId="Style_25_ch" w:type="character">
    <w:name w:val="Normal (Web)"/>
    <w:basedOn w:val="Style_5_ch"/>
    <w:link w:val="Style_25"/>
  </w:style>
  <w:style w:styleId="Style_26" w:type="paragraph">
    <w:name w:val="заголовок 2"/>
    <w:basedOn w:val="Style_5"/>
    <w:next w:val="Style_5"/>
    <w:link w:val="Style_26_ch"/>
    <w:pPr>
      <w:keepNext w:val="1"/>
      <w:widowControl w:val="0"/>
      <w:ind/>
      <w:jc w:val="right"/>
    </w:pPr>
    <w:rPr>
      <w:u w:val="single"/>
    </w:rPr>
  </w:style>
  <w:style w:styleId="Style_26_ch" w:type="character">
    <w:name w:val="заголовок 2"/>
    <w:basedOn w:val="Style_5_ch"/>
    <w:link w:val="Style_26"/>
    <w:rPr>
      <w:u w:val="single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 Знак"/>
    <w:basedOn w:val="Style_5"/>
    <w:link w:val="Style_29_ch"/>
    <w:pPr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  <w:sz w:val="20"/>
    </w:rPr>
  </w:style>
  <w:style w:styleId="Style_29_ch" w:type="character">
    <w:name w:val=" Знак"/>
    <w:basedOn w:val="Style_5_ch"/>
    <w:link w:val="Style_29"/>
    <w:rPr>
      <w:rFonts w:ascii="Verdana" w:hAnsi="Verdana"/>
      <w:sz w:val="20"/>
    </w:rPr>
  </w:style>
  <w:style w:styleId="Style_30" w:type="paragraph">
    <w:name w:val="toc 1"/>
    <w:next w:val="Style_5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Body Text Indent 2"/>
    <w:basedOn w:val="Style_5"/>
    <w:link w:val="Style_31_ch"/>
    <w:pPr>
      <w:widowControl w:val="0"/>
      <w:ind w:firstLine="708" w:left="0"/>
      <w:jc w:val="both"/>
    </w:pPr>
    <w:rPr>
      <w:sz w:val="28"/>
    </w:rPr>
  </w:style>
  <w:style w:styleId="Style_31_ch" w:type="character">
    <w:name w:val="Body Text Indent 2"/>
    <w:basedOn w:val="Style_5_ch"/>
    <w:link w:val="Style_31"/>
    <w:rPr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ConsNormal"/>
    <w:link w:val="Style_33_ch"/>
    <w:pPr>
      <w:widowControl w:val="0"/>
      <w:ind w:firstLine="720" w:left="0" w:right="19772"/>
    </w:pPr>
    <w:rPr>
      <w:rFonts w:ascii="Arial" w:hAnsi="Arial"/>
    </w:rPr>
  </w:style>
  <w:style w:styleId="Style_33_ch" w:type="character">
    <w:name w:val="ConsNormal"/>
    <w:link w:val="Style_33"/>
    <w:rPr>
      <w:rFonts w:ascii="Arial" w:hAnsi="Arial"/>
    </w:rPr>
  </w:style>
  <w:style w:styleId="Style_34" w:type="paragraph">
    <w:name w:val="page number"/>
    <w:link w:val="Style_34_ch"/>
  </w:style>
  <w:style w:styleId="Style_34_ch" w:type="character">
    <w:name w:val="page number"/>
    <w:link w:val="Style_34"/>
  </w:style>
  <w:style w:styleId="Style_35" w:type="paragraph">
    <w:name w:val="Balloon Text"/>
    <w:basedOn w:val="Style_5"/>
    <w:link w:val="Style_35_ch"/>
    <w:rPr>
      <w:rFonts w:ascii="Tahoma" w:hAnsi="Tahoma"/>
      <w:sz w:val="16"/>
    </w:rPr>
  </w:style>
  <w:style w:styleId="Style_35_ch" w:type="character">
    <w:name w:val="Balloon Text"/>
    <w:basedOn w:val="Style_5_ch"/>
    <w:link w:val="Style_35"/>
    <w:rPr>
      <w:rFonts w:ascii="Tahoma" w:hAnsi="Tahoma"/>
      <w:sz w:val="16"/>
    </w:rPr>
  </w:style>
  <w:style w:styleId="Style_36" w:type="paragraph">
    <w:name w:val="ConsPlusNormal"/>
    <w:link w:val="Style_36_ch"/>
    <w:pPr>
      <w:widowControl w:val="0"/>
      <w:ind w:firstLine="720" w:left="0"/>
    </w:pPr>
    <w:rPr>
      <w:rFonts w:ascii="Arial" w:hAnsi="Arial"/>
    </w:rPr>
  </w:style>
  <w:style w:styleId="Style_36_ch" w:type="character">
    <w:name w:val="ConsPlusNormal"/>
    <w:link w:val="Style_36"/>
    <w:rPr>
      <w:rFonts w:ascii="Arial" w:hAnsi="Arial"/>
    </w:rPr>
  </w:style>
  <w:style w:styleId="Style_37" w:type="paragraph">
    <w:name w:val="toc 9"/>
    <w:next w:val="Style_5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5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ConsPlusNonformat"/>
    <w:link w:val="Style_39_ch"/>
    <w:pPr>
      <w:widowControl w:val="0"/>
      <w:ind/>
    </w:pPr>
    <w:rPr>
      <w:rFonts w:ascii="Courier New" w:hAnsi="Courier New"/>
    </w:rPr>
  </w:style>
  <w:style w:styleId="Style_39_ch" w:type="character">
    <w:name w:val="ConsPlusNonformat"/>
    <w:link w:val="Style_39"/>
    <w:rPr>
      <w:rFonts w:ascii="Courier New" w:hAnsi="Courier New"/>
    </w:rPr>
  </w:style>
  <w:style w:styleId="Style_40" w:type="paragraph">
    <w:name w:val="consplusnormal"/>
    <w:basedOn w:val="Style_5"/>
    <w:link w:val="Style_40_ch"/>
    <w:pPr>
      <w:spacing w:afterAutospacing="on" w:beforeAutospacing="on"/>
      <w:ind/>
    </w:pPr>
  </w:style>
  <w:style w:styleId="Style_40_ch" w:type="character">
    <w:name w:val="consplusnormal"/>
    <w:basedOn w:val="Style_5_ch"/>
    <w:link w:val="Style_40"/>
  </w:style>
  <w:style w:styleId="Style_41" w:type="paragraph">
    <w:name w:val="Body Text 2"/>
    <w:basedOn w:val="Style_5"/>
    <w:link w:val="Style_41_ch"/>
    <w:pPr>
      <w:widowControl w:val="0"/>
      <w:ind/>
    </w:pPr>
    <w:rPr>
      <w:sz w:val="28"/>
    </w:rPr>
  </w:style>
  <w:style w:styleId="Style_41_ch" w:type="character">
    <w:name w:val="Body Text 2"/>
    <w:basedOn w:val="Style_5_ch"/>
    <w:link w:val="Style_41"/>
    <w:rPr>
      <w:sz w:val="28"/>
    </w:rPr>
  </w:style>
  <w:style w:styleId="Style_42" w:type="paragraph">
    <w:name w:val="toc 5"/>
    <w:next w:val="Style_5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Body Text"/>
    <w:basedOn w:val="Style_5"/>
    <w:link w:val="Style_43_ch"/>
    <w:pPr>
      <w:widowControl w:val="0"/>
      <w:ind/>
      <w:jc w:val="both"/>
    </w:pPr>
    <w:rPr>
      <w:sz w:val="28"/>
    </w:rPr>
  </w:style>
  <w:style w:styleId="Style_43_ch" w:type="character">
    <w:name w:val="Body Text"/>
    <w:basedOn w:val="Style_5_ch"/>
    <w:link w:val="Style_43"/>
    <w:rPr>
      <w:sz w:val="28"/>
    </w:rPr>
  </w:style>
  <w:style w:styleId="Style_44" w:type="paragraph">
    <w:name w:val="Document Map"/>
    <w:basedOn w:val="Style_5"/>
    <w:link w:val="Style_44_ch"/>
    <w:rPr>
      <w:rFonts w:ascii="Tahoma" w:hAnsi="Tahoma"/>
      <w:sz w:val="20"/>
    </w:rPr>
  </w:style>
  <w:style w:styleId="Style_44_ch" w:type="character">
    <w:name w:val="Document Map"/>
    <w:basedOn w:val="Style_5_ch"/>
    <w:link w:val="Style_44"/>
    <w:rPr>
      <w:rFonts w:ascii="Tahoma" w:hAnsi="Tahoma"/>
      <w:sz w:val="20"/>
    </w:rPr>
  </w:style>
  <w:style w:styleId="Style_45" w:type="paragraph">
    <w:name w:val="Subtitle"/>
    <w:next w:val="Style_5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5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ConsPlusTitle"/>
    <w:link w:val="Style_47_ch"/>
    <w:pPr>
      <w:widowControl w:val="0"/>
      <w:ind/>
    </w:pPr>
    <w:rPr>
      <w:rFonts w:ascii="Arial" w:hAnsi="Arial"/>
      <w:b w:val="1"/>
    </w:rPr>
  </w:style>
  <w:style w:styleId="Style_47_ch" w:type="character">
    <w:name w:val="ConsPlusTitle"/>
    <w:link w:val="Style_47"/>
    <w:rPr>
      <w:rFonts w:ascii="Arial" w:hAnsi="Arial"/>
      <w:b w:val="1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ind/>
      <w:jc w:val="center"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9" w:type="paragraph">
    <w:name w:val="heading 2"/>
    <w:basedOn w:val="Style_5"/>
    <w:next w:val="Style_5"/>
    <w:link w:val="Style_49_ch"/>
    <w:uiPriority w:val="9"/>
    <w:qFormat/>
    <w:pPr>
      <w:keepNext w:val="1"/>
      <w:ind/>
      <w:jc w:val="center"/>
      <w:outlineLvl w:val="1"/>
    </w:pPr>
    <w:rPr>
      <w:sz w:val="28"/>
    </w:rPr>
  </w:style>
  <w:style w:styleId="Style_49_ch" w:type="character">
    <w:name w:val="heading 2"/>
    <w:basedOn w:val="Style_5_ch"/>
    <w:link w:val="Style_49"/>
    <w:rPr>
      <w:sz w:val="28"/>
    </w:rPr>
  </w:style>
  <w:style w:styleId="Style_50" w:type="paragraph">
    <w:name w:val="heading 6"/>
    <w:basedOn w:val="Style_5"/>
    <w:next w:val="Style_5"/>
    <w:link w:val="Style_50_ch"/>
    <w:uiPriority w:val="9"/>
    <w:qFormat/>
    <w:pPr>
      <w:keepNext w:val="1"/>
      <w:widowControl w:val="0"/>
      <w:tabs>
        <w:tab w:leader="none" w:pos="0" w:val="left"/>
      </w:tabs>
      <w:ind w:firstLine="720" w:left="696"/>
      <w:jc w:val="both"/>
      <w:outlineLvl w:val="5"/>
    </w:pPr>
    <w:rPr>
      <w:b w:val="1"/>
      <w:sz w:val="32"/>
    </w:rPr>
  </w:style>
  <w:style w:styleId="Style_50_ch" w:type="character">
    <w:name w:val="heading 6"/>
    <w:basedOn w:val="Style_5_ch"/>
    <w:link w:val="Style_50"/>
    <w:rPr>
      <w:b w:val="1"/>
      <w:sz w:val="3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2" w:type="table">
    <w:name w:val="Table List 3"/>
    <w:basedOn w:val="Style_2"/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2024-12-28T06:11:52Z</dcterms:modified>
</cp:coreProperties>
</file>