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02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03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Крапивинского муниципального округа</w:t>
      </w:r>
    </w:p>
    <w:p w14:paraId="04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26.09.2025 </w:t>
      </w:r>
      <w:r>
        <w:rPr>
          <w:rFonts w:ascii="Times New Roman" w:hAnsi="Times New Roman"/>
          <w:sz w:val="24"/>
        </w:rPr>
        <w:t>№ 1073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 </w:t>
      </w:r>
    </w:p>
    <w:p w14:paraId="05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Условия и порядок заключения </w:t>
      </w:r>
      <w:r>
        <w:rPr>
          <w:rFonts w:ascii="Times New Roman" w:hAnsi="Times New Roman"/>
          <w:b w:val="1"/>
          <w:sz w:val="28"/>
        </w:rPr>
        <w:t>соглашений о защите и поощрении капиталовложений со стороны муниципального образования Крапивинский муниципальный округ Кемеровской области – Кузбасса</w:t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Настоящие условия и порядок заключения соглашений о защите и поощрении капиталовл</w:t>
      </w:r>
      <w:r>
        <w:rPr>
          <w:rFonts w:ascii="Times New Roman" w:hAnsi="Times New Roman"/>
          <w:sz w:val="28"/>
        </w:rPr>
        <w:t xml:space="preserve">ожений со стороны муниципального образования Крапивинский муниципальный округ Кемеровской области - Кузбасса (далее -Порядок) устанавливает условия и порядок заключения соглашений о защите и поощрении капиталовложений со стороны муниципального образования </w:t>
      </w:r>
      <w:r>
        <w:rPr>
          <w:rFonts w:ascii="Times New Roman" w:hAnsi="Times New Roman"/>
          <w:sz w:val="28"/>
        </w:rPr>
        <w:t>Крапивинский муниципальный округ Кемеровской области – Кузбасса.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Уполномоченным структурным подразделением администрации муниципального образования Крапивинский муниципальный округ Кемеровской области – Кузбасса в сфере согласования соглашений о защит</w:t>
      </w:r>
      <w:r>
        <w:rPr>
          <w:rFonts w:ascii="Times New Roman" w:hAnsi="Times New Roman"/>
          <w:sz w:val="28"/>
        </w:rPr>
        <w:t>е и поощрении капиталовложений со стороны муниципального образования Крапивинский муниципальный округ Кемеровской области – Кузбасса (далее - Соглашение) является отдел экономического анализа и прогнозирования развития территории администрации Крапивинског</w:t>
      </w:r>
      <w:r>
        <w:rPr>
          <w:rFonts w:ascii="Times New Roman" w:hAnsi="Times New Roman"/>
          <w:sz w:val="28"/>
        </w:rPr>
        <w:t>о муниципального округа.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К отношениям, возникающим в связи с согласованием,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</w:t>
      </w:r>
      <w:r>
        <w:rPr>
          <w:rFonts w:ascii="Times New Roman" w:hAnsi="Times New Roman"/>
          <w:sz w:val="28"/>
        </w:rPr>
        <w:t>тей, установленных Федеральным законом от 1 апреля 2020 года № 69-ФЗ «О защите и поощрении капиталовложений в Российской Федерации» (далее – Федеральный закон № 69-ФЗ).</w:t>
      </w:r>
    </w:p>
    <w:p w14:paraId="0B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Предмет и условия Соглашения</w:t>
      </w:r>
    </w:p>
    <w:p w14:paraId="0D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Настоящий Порядок применяется к Соглашению (допо</w:t>
      </w:r>
      <w:r>
        <w:rPr>
          <w:rFonts w:ascii="Times New Roman" w:hAnsi="Times New Roman"/>
          <w:sz w:val="28"/>
        </w:rPr>
        <w:t>лнительным соглашениям к нему), заключаемому (заключаемым) в случае частной проектной инициативы на основании заявления о заключении Соглашения о защите и поощрении капиталовложений.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Соглашение может быть заключено не позднее 1 января 2030 года.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</w:t>
      </w:r>
      <w:r>
        <w:rPr>
          <w:rFonts w:ascii="Times New Roman" w:hAnsi="Times New Roman"/>
          <w:sz w:val="28"/>
        </w:rPr>
        <w:t>Муниципальное образование Крапивинский муниципальный округ Кемеровской области – Кузбасса может быть стороной соглашения, если одновременно стороной такого соглашения является Кемеровская область – Кузбасс.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Соглашение заключается в отношении проекта, </w:t>
      </w:r>
      <w:r>
        <w:rPr>
          <w:rFonts w:ascii="Times New Roman" w:hAnsi="Times New Roman"/>
          <w:sz w:val="28"/>
        </w:rPr>
        <w:t xml:space="preserve">который удовлетворяет требованиям Федерального закона № 69-ФЗ, с юридическим лицом зарегистрированным на территории Российской Федерации, </w:t>
      </w:r>
      <w:r>
        <w:rPr>
          <w:rFonts w:ascii="Times New Roman" w:hAnsi="Times New Roman"/>
          <w:sz w:val="28"/>
        </w:rPr>
        <w:t>реализующим инвестиционный проект, в том числе с проектной компанией (за исключением государственных и муниципальных у</w:t>
      </w:r>
      <w:r>
        <w:rPr>
          <w:rFonts w:ascii="Times New Roman" w:hAnsi="Times New Roman"/>
          <w:sz w:val="28"/>
        </w:rPr>
        <w:t>чреждений, а также государственных и муниципальных унитарных предприятий), представившим достоверную информацию о себе, в том числе информацию, соответствующую сведениям, содержащимся в едином государственном реестре юридических лиц, включая сведения о том</w:t>
      </w:r>
      <w:r>
        <w:rPr>
          <w:rFonts w:ascii="Times New Roman" w:hAnsi="Times New Roman"/>
          <w:sz w:val="28"/>
        </w:rPr>
        <w:t>, что заявитель не находится в процессе ликвидации или в его отношении не принято решение о предстоящем исключении юридического лица из единого государственного реестра юридических лиц, в отношении заявителя не открыто конкурсное производство в соответстви</w:t>
      </w:r>
      <w:r>
        <w:rPr>
          <w:rFonts w:ascii="Times New Roman" w:hAnsi="Times New Roman"/>
          <w:sz w:val="28"/>
        </w:rPr>
        <w:t>и с Федеральным законом от 26 октября 2002 года № 127-ФЗ «О несостоятельности (банкротстве)» (далее – Заявитель).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Соглашение заключается в отношении инвестиционного проекта, который удовлетворяет следующим требованиям: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2.5.1. Инвестиционный проект </w:t>
      </w:r>
      <w:r>
        <w:rPr>
          <w:rFonts w:ascii="Times New Roman" w:hAnsi="Times New Roman"/>
          <w:sz w:val="28"/>
        </w:rPr>
        <w:t>отвечает признакам инвестиционного проекта, предусмотренным пунктом 3 части 1 статьи 2 Федерального закона № 69-ФЗ.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2.5.2. Инвестиционный </w:t>
      </w:r>
      <w:r>
        <w:rPr>
          <w:rFonts w:ascii="Times New Roman" w:hAnsi="Times New Roman"/>
          <w:sz w:val="28"/>
        </w:rPr>
        <w:t>проект  отвечает</w:t>
      </w:r>
      <w:r>
        <w:rPr>
          <w:rFonts w:ascii="Times New Roman" w:hAnsi="Times New Roman"/>
          <w:sz w:val="28"/>
        </w:rPr>
        <w:t xml:space="preserve"> признакам нового инвестиционного проекта, предусмотренным пунктом 6 части 1 статьи 2 Федерального зак</w:t>
      </w:r>
      <w:r>
        <w:rPr>
          <w:rFonts w:ascii="Times New Roman" w:hAnsi="Times New Roman"/>
          <w:sz w:val="28"/>
        </w:rPr>
        <w:t>она № 69-ФЗ.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2.5.3. Инвестиционный проект реализуется в сфере российской экономики, которая отвечает требованиям, установленным статьей 6 Федерального закона № 69-ФЗ.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2.5.4. Планируемый Заявителем объем капиталовложений в инвестиционный проект (а в случае,</w:t>
      </w:r>
      <w:r>
        <w:rPr>
          <w:rFonts w:ascii="Times New Roman" w:hAnsi="Times New Roman"/>
          <w:sz w:val="28"/>
        </w:rPr>
        <w:t xml:space="preserve"> если инвестиционный проект реализуется на момент подачи заявления, общий объем осуществленных и планируемых к осуществлению капиталовложений) соответствует положениям пункта 1 части 4 статьи 9 Федерального закона № 69-ФЗ (при этом для случаев заключения С</w:t>
      </w:r>
      <w:r>
        <w:rPr>
          <w:rFonts w:ascii="Times New Roman" w:hAnsi="Times New Roman"/>
          <w:sz w:val="28"/>
        </w:rPr>
        <w:t>оглашения в отношении нового инвестиционного проекта, предусмотренного подпунктом «а» пункта 6 части 1 статьи 2 Федерального закона № 69-ФЗ, соблюдаются требования, установленные частью 3.1 статьи 7 Федерального закона № 69-ФЗ).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2.5.5. Вложенные в инвестиц</w:t>
      </w:r>
      <w:r>
        <w:rPr>
          <w:rFonts w:ascii="Times New Roman" w:hAnsi="Times New Roman"/>
          <w:sz w:val="28"/>
        </w:rPr>
        <w:t>ионный проект и (или) планируемые к вложению в инвестиционный проект денежные средства (капиталовложения) отвечают требованиям, установленным пунктом 5 части 1 статьи 2 Федерального закона № 69-ФЗ.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Муниципальное образование Крапивинский муниципальный </w:t>
      </w:r>
      <w:r>
        <w:rPr>
          <w:rFonts w:ascii="Times New Roman" w:hAnsi="Times New Roman"/>
          <w:sz w:val="28"/>
        </w:rPr>
        <w:t>округ Кемеровской области – Кузбасса при заключении Соглашения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</w:t>
      </w:r>
      <w:r>
        <w:rPr>
          <w:rFonts w:ascii="Times New Roman" w:hAnsi="Times New Roman"/>
          <w:sz w:val="28"/>
        </w:rPr>
        <w:t>местно с организацией, реализующей проект.</w:t>
      </w:r>
    </w:p>
    <w:p w14:paraId="19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B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C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Согласование Соглашения</w:t>
      </w:r>
    </w:p>
    <w:p w14:paraId="1E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При поступлении заявления, прилагаемых к нему документов и материалов, проекта Соглашения (проекта дополнительного соглашения к нему) от органа государственной власти Кемеровск</w:t>
      </w:r>
      <w:r>
        <w:rPr>
          <w:rFonts w:ascii="Times New Roman" w:hAnsi="Times New Roman"/>
          <w:sz w:val="28"/>
        </w:rPr>
        <w:t>ой области – Кузбасса, уполномоченного на подписание Соглашения (далее – уполномоченный орган Кемеровской области – Кузбасса), отдел экономического анализа и прогнозирования развития территории администрации Крапивинского муниципального округа рассматривае</w:t>
      </w:r>
      <w:r>
        <w:rPr>
          <w:rFonts w:ascii="Times New Roman" w:hAnsi="Times New Roman"/>
          <w:sz w:val="28"/>
        </w:rPr>
        <w:t>т указанные в настоящем пункте документы, а также (если применимо) ходатайство Заявителя о признании ранее заключенного договора в качестве связанного договора и (или) о включении в Соглашение обязанностей муниципального образования Крапивинский муниципаль</w:t>
      </w:r>
      <w:r>
        <w:rPr>
          <w:rFonts w:ascii="Times New Roman" w:hAnsi="Times New Roman"/>
          <w:sz w:val="28"/>
        </w:rPr>
        <w:t>ный округ Кемеровской области – Кузбасса, предусмотренных частью 9 статьи 10 Федерального закона № 69-ФЗ, в срок, указанный в письме уполномоченного органа Кемеровской области – Кузбасса, но не превышающий 15 рабочих дней со дня поступления сопроводительно</w:t>
      </w:r>
      <w:r>
        <w:rPr>
          <w:rFonts w:ascii="Times New Roman" w:hAnsi="Times New Roman"/>
          <w:sz w:val="28"/>
        </w:rPr>
        <w:t>го письма, а также заявления и прилагаемых к нему документов.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При отсутствии оснований, предусмотренных частью 14 статьи 7 Федерального закона № 69-ФЗ, глава муниципального образования Крапивинский муниципальный округ Кемеровской области – Кузбасса по</w:t>
      </w:r>
      <w:r>
        <w:rPr>
          <w:rFonts w:ascii="Times New Roman" w:hAnsi="Times New Roman"/>
          <w:sz w:val="28"/>
        </w:rPr>
        <w:t xml:space="preserve">дписывает проект Соглашения не позднее срока, указанного в пункте 3.1 настоящего Порядка, и все экземпляры подписанного проекта Соглашения отдел экономического анализа и прогнозирования развития территории администрации Крапивинского муниципального округа </w:t>
      </w:r>
      <w:r>
        <w:rPr>
          <w:rFonts w:ascii="Times New Roman" w:hAnsi="Times New Roman"/>
          <w:sz w:val="28"/>
        </w:rPr>
        <w:t>направляет в уполномоченный орган  Кемеровской области – Кузбасса.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Изменение условий Соглашения не допускается, за исключением случаев, указанных в части 6 статьи 11 Федерального закона № 69-ФЗ, путем заключения дополнительного соглашения.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Монитор</w:t>
      </w:r>
      <w:r>
        <w:rPr>
          <w:rFonts w:ascii="Times New Roman" w:hAnsi="Times New Roman"/>
          <w:b w:val="1"/>
          <w:sz w:val="28"/>
        </w:rPr>
        <w:t>инг исполнения условий Соглашения</w:t>
      </w:r>
    </w:p>
    <w:p w14:paraId="24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2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Мониторинг исполнения условий Соглашения осуществляется в целях сбора, систематизации и учета информации о ходе исполнения условий Соглашения и условий реализации инвестиционного проекта, в том числе этапов реализаци</w:t>
      </w:r>
      <w:r>
        <w:rPr>
          <w:rFonts w:ascii="Times New Roman" w:hAnsi="Times New Roman"/>
          <w:sz w:val="28"/>
        </w:rPr>
        <w:t>и инвестиционного проекта, а также выявления обстоятельств, указывающих на наличие оснований для расторжения Соглашений.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Организация, реализующая инвестиционный проект, не позднее 1 февраля года, следующего за годом, в котором заключено Соглашение (в </w:t>
      </w:r>
      <w:r>
        <w:rPr>
          <w:rFonts w:ascii="Times New Roman" w:hAnsi="Times New Roman"/>
          <w:sz w:val="28"/>
        </w:rPr>
        <w:t>отношении представления информации о реализации соответствующего этапа инвестиционного проекта – не позднее 1 февраля года, следующего за годом, в котором наступил срок реализации очередного этапа инвестиционного проекта,  предусмотренный Соглашением), пре</w:t>
      </w:r>
      <w:r>
        <w:rPr>
          <w:rFonts w:ascii="Times New Roman" w:hAnsi="Times New Roman"/>
          <w:sz w:val="28"/>
        </w:rPr>
        <w:t xml:space="preserve">дставляет в отдел экономического анализа и прогнозирования развития территории </w:t>
      </w:r>
      <w:r>
        <w:rPr>
          <w:rFonts w:ascii="Times New Roman" w:hAnsi="Times New Roman"/>
          <w:sz w:val="28"/>
        </w:rPr>
        <w:t>администрации Крапивинского муниципального округа данные об исполнении условий Соглашения и условий реализации инвестиционного проекта, в том числе информацию о реализации соотв</w:t>
      </w:r>
      <w:r>
        <w:rPr>
          <w:rFonts w:ascii="Times New Roman" w:hAnsi="Times New Roman"/>
          <w:sz w:val="28"/>
        </w:rPr>
        <w:t>етствующего этапа инвестиционного проекта (если применимо) (далее – данные, представленные организацией, реализующей инвестиционный проект), по примерной форме, установленной уполномоченным органом Кемеровской области – Кузбасса.</w:t>
      </w:r>
    </w:p>
    <w:p w14:paraId="2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Отдел экономического </w:t>
      </w:r>
      <w:r>
        <w:rPr>
          <w:rFonts w:ascii="Times New Roman" w:hAnsi="Times New Roman"/>
          <w:sz w:val="28"/>
        </w:rPr>
        <w:t>анализа и прогнозирования развития территории администрации Крапивинского муниципального округа в течении 10 рабочих дней со дня представления данных, представленных организацией, реализующей инвестиционный проект, осуществляет проверку исполнения организа</w:t>
      </w:r>
      <w:r>
        <w:rPr>
          <w:rFonts w:ascii="Times New Roman" w:hAnsi="Times New Roman"/>
          <w:sz w:val="28"/>
        </w:rPr>
        <w:t>цией, реализующей инвестиционный проект, условий Соглашения и условий реализации инвестиционного проекта, в том числе соответствующих этапов реализации инвестиционного проекта (если применимо) и направляет в уполномоченный орган Кемеровской области – Кузба</w:t>
      </w:r>
      <w:r>
        <w:rPr>
          <w:rFonts w:ascii="Times New Roman" w:hAnsi="Times New Roman"/>
          <w:sz w:val="28"/>
        </w:rPr>
        <w:t>сса отчет об исполнении условий Соглашений и условий реализации инвестиционных проектов, в том числе этапов реализации инвестиционных проектов, реализуемых на территории муниципального образования Крапивинский муниципальный округ Кемеровской области – Кузб</w:t>
      </w:r>
      <w:r>
        <w:rPr>
          <w:rFonts w:ascii="Times New Roman" w:hAnsi="Times New Roman"/>
          <w:sz w:val="28"/>
        </w:rPr>
        <w:t>асса, в соответствии с формой, установленной уполномоченным органом Кемеровской области – Кузбасса, содержащей в том числе основания для изменения или расторжения Соглашения.</w:t>
      </w: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Заключительные положения</w:t>
      </w:r>
    </w:p>
    <w:p w14:paraId="2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2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 Соглашение может быть расторгнуто в любое время</w:t>
      </w:r>
      <w:r>
        <w:rPr>
          <w:rFonts w:ascii="Times New Roman" w:hAnsi="Times New Roman"/>
          <w:sz w:val="28"/>
        </w:rPr>
        <w:t xml:space="preserve"> по соглашению сторон, если это не нарушает условий связанного договора.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Каждая сторона Соглашения вправе отказаться от исполнения Соглашения в одностороннем внесудебном порядке с письменным уведомлением каждой из сторон Соглашения не позднее 30 рабочих дн</w:t>
      </w:r>
      <w:r>
        <w:rPr>
          <w:rFonts w:ascii="Times New Roman" w:hAnsi="Times New Roman"/>
          <w:sz w:val="28"/>
        </w:rPr>
        <w:t>ей до предполагаемой даты расторжения при наступлении одного из условий, предусмотренных частью 14 статьи 11 Федерального закона № 69-ФЗ.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 Муниципальное образован</w:t>
      </w:r>
      <w:r>
        <w:rPr>
          <w:rFonts w:ascii="Times New Roman" w:hAnsi="Times New Roman"/>
          <w:sz w:val="28"/>
        </w:rPr>
        <w:t xml:space="preserve">ие Крапивинский муниципальный округ Кемеровской области – Кузбасса требует расторжения Соглашения в порядке, предусмотренном статьей 13 Федерального закона № 69-ФЗ, при выявлении любого из обстоятельств, в том числе по результатам мониторинга, указанным в </w:t>
      </w:r>
      <w:r>
        <w:rPr>
          <w:rFonts w:ascii="Times New Roman" w:hAnsi="Times New Roman"/>
          <w:sz w:val="28"/>
        </w:rPr>
        <w:t>части 13 статьи 11 Федерального закона № 69-ФЗ.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Крапивинский муниципальный округ Кемеровской области – Кузбасса</w:t>
      </w:r>
      <w:r>
        <w:rPr>
          <w:rFonts w:ascii="Times New Roman" w:hAnsi="Times New Roman"/>
          <w:sz w:val="28"/>
        </w:rPr>
        <w:t xml:space="preserve"> отказывается от исполнения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условий, указанных в части 14 статьи 11</w:t>
      </w:r>
      <w:r>
        <w:rPr>
          <w:rFonts w:ascii="Times New Roman" w:hAnsi="Times New Roman"/>
          <w:sz w:val="28"/>
        </w:rPr>
        <w:t xml:space="preserve"> Федерального закона № 69- ФЗ.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Организация, реализующая инвестиционный проект, вправе потребовать расторжения Соглашения о защите и поощрении капиталовложений в порядке, предусмотренном статьей 13 Федерального </w:t>
      </w:r>
      <w:r>
        <w:rPr>
          <w:rFonts w:ascii="Times New Roman" w:hAnsi="Times New Roman"/>
          <w:sz w:val="28"/>
        </w:rPr>
        <w:t>закона № 69- ФЗ, в случае существенного наруше</w:t>
      </w:r>
      <w:r>
        <w:rPr>
          <w:rFonts w:ascii="Times New Roman" w:hAnsi="Times New Roman"/>
          <w:sz w:val="28"/>
        </w:rPr>
        <w:t>ния его условий муниципальным образованием Крапивинский муниципальный округ Кемеровской области – Кузбасса при условии, что такое требование организации, реализующей инвестиционный проект, не нарушает условий связанного договора.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 Для прекращения действ</w:t>
      </w:r>
      <w:r>
        <w:rPr>
          <w:rFonts w:ascii="Times New Roman" w:hAnsi="Times New Roman"/>
          <w:sz w:val="28"/>
        </w:rPr>
        <w:t>ия Соглашения сторона, инициирующая прекращение действия Соглашения, составляет и подписывает проект дополнительного соглашения о расторжении Соглашения в количестве экземпляров, равном числу сторон Соглашения, составленный по форме, установленной уполномо</w:t>
      </w:r>
      <w:r>
        <w:rPr>
          <w:rFonts w:ascii="Times New Roman" w:hAnsi="Times New Roman"/>
          <w:sz w:val="28"/>
        </w:rPr>
        <w:t>ченным органом Кемеровской области – Кузбасса, и направляет (передает) не позднее чем за 30 рабочих дней до предполагаемой даты расторжения Соглашения иным сторонам Соглашения соответствующий экземпляр уведомления о намерении расторгнуть Соглашение и все э</w:t>
      </w:r>
      <w:r>
        <w:rPr>
          <w:rFonts w:ascii="Times New Roman" w:hAnsi="Times New Roman"/>
          <w:sz w:val="28"/>
        </w:rPr>
        <w:t>кземпляры проекта дополнительного соглашения о расторжении Соглашения.</w:t>
      </w: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возражений сторона, получившая документы и материалы, указанные в абзаце первом настоящего пункта, в течение 3 рабочих дней со дня их получения подписывает все экземпляры</w:t>
      </w:r>
      <w:r>
        <w:rPr>
          <w:rFonts w:ascii="Times New Roman" w:hAnsi="Times New Roman"/>
          <w:sz w:val="28"/>
        </w:rPr>
        <w:t xml:space="preserve"> дополнительного соглашения о расторжении Соглашения и направляет их в уполномоченный орган Кемеровской области-Кузбасса.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случае, если хотя бы одна из сторон возражает относительно прекращения действия Соглашения, дополнительное соглашение о прекраще</w:t>
      </w:r>
      <w:r>
        <w:rPr>
          <w:rFonts w:ascii="Times New Roman" w:hAnsi="Times New Roman"/>
          <w:sz w:val="28"/>
        </w:rPr>
        <w:t>нии действия Соглашения не может быть заключено.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 При не достижении согласия, расторжение Соглашения производится в судебном порядке.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pgSz w:h="16848" w:orient="portrait" w:w="11908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4" w:type="paragraph">
    <w:name w:val="Body Text"/>
    <w:basedOn w:val="Style_1"/>
    <w:link w:val="Style_4_ch"/>
    <w:pPr>
      <w:widowControl w:val="1"/>
      <w:spacing w:after="120"/>
      <w:ind/>
    </w:pPr>
  </w:style>
  <w:style w:styleId="Style_4_ch" w:type="character">
    <w:name w:val="Body Text"/>
    <w:basedOn w:val="Style_1_ch"/>
    <w:link w:val="Style_4"/>
  </w:style>
  <w:style w:styleId="Style_5" w:type="paragraph">
    <w:name w:val="toc 4"/>
    <w:next w:val="Style_1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Основной шрифт абзаца2"/>
    <w:link w:val="Style_12_ch"/>
  </w:style>
  <w:style w:styleId="Style_12_ch" w:type="character">
    <w:name w:val="Основной шрифт абзаца2"/>
    <w:link w:val="Style_12"/>
  </w:style>
  <w:style w:styleId="Style_13" w:type="paragraph">
    <w:name w:val="toc 3"/>
    <w:next w:val="Style_1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Normal"/>
    <w:link w:val="Style_14_ch"/>
    <w:pPr>
      <w:widowControl w:val="0"/>
      <w:spacing w:after="0" w:line="240" w:lineRule="auto"/>
      <w:ind/>
    </w:pPr>
    <w:rPr>
      <w:rFonts w:ascii="Calibri" w:hAnsi="Calibri"/>
    </w:rPr>
  </w:style>
  <w:style w:styleId="Style_14_ch" w:type="character">
    <w:name w:val="ConsPlusNormal"/>
    <w:link w:val="Style_14"/>
    <w:rPr>
      <w:rFonts w:ascii="Calibri" w:hAnsi="Calibri"/>
    </w:rPr>
  </w:style>
  <w:style w:styleId="Style_15" w:type="paragraph">
    <w:name w:val="Без интервала1"/>
    <w:link w:val="Style_15_ch"/>
    <w:pPr>
      <w:widowControl w:val="1"/>
      <w:spacing w:after="0" w:line="240" w:lineRule="auto"/>
      <w:ind/>
    </w:pPr>
    <w:rPr>
      <w:rFonts w:ascii="Calibri" w:hAnsi="Calibri"/>
    </w:rPr>
  </w:style>
  <w:style w:styleId="Style_15_ch" w:type="character">
    <w:name w:val="Без интервала1"/>
    <w:link w:val="Style_15"/>
    <w:rPr>
      <w:rFonts w:ascii="Calibri" w:hAnsi="Calibri"/>
    </w:rPr>
  </w:style>
  <w:style w:styleId="Style_16" w:type="paragraph">
    <w:name w:val="heading 5"/>
    <w:next w:val="Style_1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Гиперссылка2"/>
    <w:link w:val="Style_17_ch"/>
    <w:rPr>
      <w:color w:val="0000FF"/>
      <w:u w:val="single"/>
    </w:rPr>
  </w:style>
  <w:style w:styleId="Style_17_ch" w:type="character">
    <w:name w:val="Гиперссылка2"/>
    <w:link w:val="Style_17"/>
    <w:rPr>
      <w:color w:val="0000FF"/>
      <w:u w:val="single"/>
    </w:rPr>
  </w:style>
  <w:style w:styleId="Style_18" w:type="paragraph">
    <w:name w:val="heading 1"/>
    <w:next w:val="Style_1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Default"/>
    <w:link w:val="Style_19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9_ch" w:type="character">
    <w:name w:val="Default"/>
    <w:link w:val="Style_19"/>
    <w:rPr>
      <w:rFonts w:ascii="Times New Roman" w:hAnsi="Times New Roman"/>
      <w:sz w:val="24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toc 1"/>
    <w:next w:val="Style_1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Body Text Indent"/>
    <w:basedOn w:val="Style_1"/>
    <w:link w:val="Style_25_ch"/>
    <w:pPr>
      <w:widowControl w:val="1"/>
      <w:spacing w:after="120" w:line="240" w:lineRule="auto"/>
      <w:ind w:left="283"/>
    </w:pPr>
    <w:rPr>
      <w:rFonts w:ascii="Times New Roman" w:hAnsi="Times New Roman"/>
      <w:sz w:val="20"/>
    </w:rPr>
  </w:style>
  <w:style w:styleId="Style_25_ch" w:type="character">
    <w:name w:val="Body Text Indent"/>
    <w:basedOn w:val="Style_1_ch"/>
    <w:link w:val="Style_25"/>
    <w:rPr>
      <w:rFonts w:ascii="Times New Roman" w:hAnsi="Times New Roman"/>
      <w:sz w:val="20"/>
    </w:rPr>
  </w:style>
  <w:style w:styleId="Style_26" w:type="paragraph">
    <w:name w:val="Balloon Text"/>
    <w:basedOn w:val="Style_1"/>
    <w:link w:val="Style_2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1_ch"/>
    <w:link w:val="Style_26"/>
    <w:rPr>
      <w:rFonts w:ascii="Segoe UI" w:hAnsi="Segoe UI"/>
      <w:sz w:val="18"/>
    </w:rPr>
  </w:style>
  <w:style w:styleId="Style_27" w:type="paragraph">
    <w:name w:val="toc 9"/>
    <w:next w:val="Style_1"/>
    <w:link w:val="Style_27_ch"/>
    <w:uiPriority w:val="39"/>
    <w:pPr>
      <w:widowControl w:val="1"/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List Paragraph"/>
    <w:basedOn w:val="Style_1"/>
    <w:link w:val="Style_28_ch"/>
    <w:pPr>
      <w:widowControl w:val="1"/>
      <w:ind w:left="720"/>
      <w:contextualSpacing w:val="1"/>
    </w:pPr>
  </w:style>
  <w:style w:styleId="Style_28_ch" w:type="character">
    <w:name w:val="List Paragraph"/>
    <w:basedOn w:val="Style_1_ch"/>
    <w:link w:val="Style_28"/>
  </w:style>
  <w:style w:styleId="Style_29" w:type="paragraph">
    <w:name w:val="toc 8"/>
    <w:next w:val="Style_1"/>
    <w:link w:val="Style_29_ch"/>
    <w:uiPriority w:val="39"/>
    <w:pPr>
      <w:widowControl w:val="1"/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ConsPlusTitle"/>
    <w:link w:val="Style_3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0_ch" w:type="character">
    <w:name w:val="ConsPlusTitle"/>
    <w:link w:val="Style_30"/>
    <w:rPr>
      <w:rFonts w:ascii="Calibri" w:hAnsi="Calibri"/>
      <w:b w:val="1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Font Style11"/>
    <w:basedOn w:val="Style_10"/>
    <w:link w:val="Style_32_ch"/>
    <w:rPr>
      <w:rFonts w:ascii="Times New Roman" w:hAnsi="Times New Roman"/>
      <w:sz w:val="26"/>
    </w:rPr>
  </w:style>
  <w:style w:styleId="Style_32_ch" w:type="character">
    <w:name w:val="Font Style11"/>
    <w:basedOn w:val="Style_10_ch"/>
    <w:link w:val="Style_32"/>
    <w:rPr>
      <w:rFonts w:ascii="Times New Roman" w:hAnsi="Times New Roman"/>
      <w:sz w:val="26"/>
    </w:rPr>
  </w:style>
  <w:style w:styleId="Style_33" w:type="paragraph">
    <w:name w:val="toc 5"/>
    <w:next w:val="Style_1"/>
    <w:link w:val="Style_33_ch"/>
    <w:uiPriority w:val="39"/>
    <w:pPr>
      <w:widowControl w:val="1"/>
      <w:ind w:left="800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1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1"/>
    <w:link w:val="Style_35_ch"/>
    <w:uiPriority w:val="10"/>
    <w:qFormat/>
    <w:pPr>
      <w:widowControl w:val="1"/>
      <w:spacing w:after="0" w:before="120" w:line="360" w:lineRule="auto"/>
      <w:ind w:right="4670"/>
      <w:jc w:val="center"/>
    </w:pPr>
    <w:rPr>
      <w:rFonts w:ascii="Arial" w:hAnsi="Arial"/>
      <w:b w:val="1"/>
      <w:sz w:val="32"/>
    </w:rPr>
  </w:style>
  <w:style w:styleId="Style_35_ch" w:type="character">
    <w:name w:val="Title"/>
    <w:basedOn w:val="Style_1_ch"/>
    <w:link w:val="Style_35"/>
    <w:rPr>
      <w:rFonts w:ascii="Arial" w:hAnsi="Arial"/>
      <w:b w:val="1"/>
      <w:sz w:val="32"/>
    </w:rPr>
  </w:style>
  <w:style w:styleId="Style_36" w:type="paragraph">
    <w:name w:val="heading 4"/>
    <w:next w:val="Style_1"/>
    <w:link w:val="Style_3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basedOn w:val="Style_1"/>
    <w:next w:val="Style_1"/>
    <w:link w:val="Style_37_ch"/>
    <w:uiPriority w:val="9"/>
    <w:qFormat/>
    <w:pPr>
      <w:keepNext w:val="1"/>
      <w:widowControl w:val="1"/>
      <w:spacing w:after="0" w:line="240" w:lineRule="auto"/>
      <w:ind w:left="900"/>
      <w:outlineLvl w:val="1"/>
    </w:pPr>
    <w:rPr>
      <w:rFonts w:ascii="Times New Roman" w:hAnsi="Times New Roman"/>
      <w:sz w:val="28"/>
    </w:rPr>
  </w:style>
  <w:style w:styleId="Style_37_ch" w:type="character">
    <w:name w:val="heading 2"/>
    <w:basedOn w:val="Style_1_ch"/>
    <w:link w:val="Style_37"/>
    <w:rPr>
      <w:rFonts w:ascii="Times New Roman" w:hAnsi="Times New Roman"/>
      <w:sz w:val="28"/>
    </w:rPr>
  </w:style>
  <w:style w:styleId="Style_38" w:type="table">
    <w:name w:val="Сетка таблицы5"/>
    <w:basedOn w:val="Style_3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39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2025-09-29T04:36:00Z</dcterms:created>
  <dcterms:modified xsi:type="dcterms:W3CDTF">2025-10-01T03:41:20Z</dcterms:modified>
</cp:coreProperties>
</file>