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</w:pPr>
    </w:p>
    <w:p w14:paraId="02000000">
      <w:pPr>
        <w:widowControl w:val="0"/>
        <w:ind w:firstLine="0" w:left="504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Приложение к </w:t>
      </w:r>
      <w:r>
        <w:rPr>
          <w:rFonts w:ascii="XO Thames" w:hAnsi="XO Thames"/>
          <w:sz w:val="28"/>
        </w:rPr>
        <w:t>постановлени</w:t>
      </w:r>
      <w:r>
        <w:rPr>
          <w:rFonts w:ascii="XO Thames" w:hAnsi="XO Thames"/>
          <w:sz w:val="28"/>
        </w:rPr>
        <w:t>ю</w:t>
      </w:r>
    </w:p>
    <w:p w14:paraId="03000000">
      <w:pPr>
        <w:widowControl w:val="0"/>
        <w:ind w:firstLine="0" w:left="504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администрации Крапивинского муниципального </w:t>
      </w:r>
      <w:r>
        <w:rPr>
          <w:rFonts w:ascii="XO Thames" w:hAnsi="XO Thames"/>
          <w:sz w:val="28"/>
        </w:rPr>
        <w:t>округа</w:t>
      </w:r>
    </w:p>
    <w:p w14:paraId="04000000">
      <w:pPr>
        <w:widowControl w:val="0"/>
        <w:ind w:firstLine="0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</w:t>
      </w:r>
      <w:r>
        <w:rPr>
          <w:rFonts w:ascii="XO Thames" w:hAnsi="XO Thames"/>
          <w:sz w:val="28"/>
        </w:rPr>
        <w:t xml:space="preserve">               </w:t>
      </w:r>
      <w:r>
        <w:rPr>
          <w:rFonts w:ascii="XO Thames" w:hAnsi="XO Thames"/>
          <w:sz w:val="28"/>
        </w:rPr>
        <w:t xml:space="preserve">         </w:t>
      </w:r>
      <w:r>
        <w:rPr>
          <w:rFonts w:ascii="XO Thames" w:hAnsi="XO Thames"/>
          <w:sz w:val="28"/>
        </w:rPr>
        <w:t>от «30» декабря 2025</w:t>
      </w:r>
      <w:r>
        <w:rPr>
          <w:rFonts w:ascii="XO Thames" w:hAnsi="XO Thames"/>
          <w:sz w:val="28"/>
        </w:rPr>
        <w:t xml:space="preserve"> №</w:t>
      </w:r>
      <w:r>
        <w:rPr>
          <w:rFonts w:ascii="XO Thames" w:hAnsi="XO Thames"/>
          <w:sz w:val="28"/>
        </w:rPr>
        <w:t xml:space="preserve"> 1459</w:t>
      </w:r>
    </w:p>
    <w:p w14:paraId="05000000">
      <w:pPr>
        <w:widowControl w:val="0"/>
        <w:ind w:firstLine="0" w:left="5040"/>
        <w:jc w:val="left"/>
        <w:rPr>
          <w:rFonts w:ascii="XO Thames" w:hAnsi="XO Thames"/>
        </w:rPr>
      </w:pPr>
    </w:p>
    <w:p w14:paraId="06000000">
      <w:pPr>
        <w:pStyle w:val="Style_1"/>
        <w:widowControl w:val="0"/>
        <w:numPr>
          <w:ilvl w:val="0"/>
          <w:numId w:val="1"/>
        </w:numPr>
        <w:tabs>
          <w:tab w:leader="none" w:pos="709" w:val="left"/>
        </w:tabs>
        <w:ind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Ресурсное обеспечение реализации муниципальной программы</w:t>
      </w:r>
    </w:p>
    <w:p w14:paraId="07000000">
      <w:pPr>
        <w:pStyle w:val="Style_1"/>
        <w:widowControl w:val="0"/>
        <w:ind w:firstLine="0" w:left="0"/>
        <w:rPr>
          <w:rFonts w:ascii="XO Thames" w:hAnsi="XO Thames"/>
          <w:sz w:val="20"/>
        </w:rPr>
      </w:pPr>
    </w:p>
    <w:tbl>
      <w:tblPr>
        <w:tblStyle w:val="Style_2"/>
        <w:tblW w:type="auto" w:w="0"/>
        <w:tblInd w:type="dxa" w:w="-9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2132"/>
        <w:gridCol w:w="2268"/>
        <w:gridCol w:w="1276"/>
        <w:gridCol w:w="1276"/>
        <w:gridCol w:w="1247"/>
        <w:gridCol w:w="1247"/>
        <w:gridCol w:w="1247"/>
      </w:tblGrid>
      <w:tr>
        <w:trPr>
          <w:trHeight w:hRule="atLeast" w:val="480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0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Наименование</w:t>
            </w:r>
          </w:p>
          <w:p w14:paraId="0900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муниципальной программы,</w:t>
            </w:r>
          </w:p>
          <w:p w14:paraId="0A00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подпрограммы, мероприятия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0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Источник финансирования</w:t>
            </w:r>
          </w:p>
        </w:tc>
        <w:tc>
          <w:tcPr>
            <w:tcW w:type="dxa" w:w="62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0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 xml:space="preserve">Объем финансовых ресурсов, </w:t>
            </w:r>
            <w:r>
              <w:rPr>
                <w:rFonts w:ascii="XO Thames" w:hAnsi="XO Thames"/>
                <w:b w:val="0"/>
                <w:sz w:val="28"/>
              </w:rPr>
              <w:t>тыс. рублей</w:t>
            </w:r>
          </w:p>
        </w:tc>
      </w:tr>
      <w:tr>
        <w:trPr>
          <w:trHeight w:hRule="atLeast" w:val="257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2023 </w:t>
            </w:r>
          </w:p>
          <w:p w14:paraId="0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2024 </w:t>
            </w:r>
          </w:p>
          <w:p w14:paraId="1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год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2025  год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2026  год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2027  год</w:t>
            </w:r>
          </w:p>
        </w:tc>
      </w:tr>
    </w:tbl>
    <w:p w14:paraId="14000000">
      <w:pPr>
        <w:pStyle w:val="Style_4"/>
        <w:widowControl w:val="0"/>
        <w:tabs>
          <w:tab w:leader="none" w:pos="4328" w:val="left"/>
          <w:tab w:leader="none" w:pos="6738" w:val="left"/>
          <w:tab w:leader="none" w:pos="7589" w:val="left"/>
          <w:tab w:leader="none" w:pos="8439" w:val="left"/>
        </w:tabs>
        <w:ind w:firstLine="0" w:left="-351"/>
        <w:rPr>
          <w:rFonts w:ascii="XO Thames" w:hAnsi="XO Thames"/>
          <w:sz w:val="2"/>
        </w:rPr>
      </w:pPr>
      <w:r>
        <w:rPr>
          <w:rFonts w:ascii="XO Thames" w:hAnsi="XO Thames"/>
          <w:sz w:val="2"/>
        </w:rPr>
        <w:tab/>
      </w:r>
      <w:r>
        <w:rPr>
          <w:rFonts w:ascii="XO Thames" w:hAnsi="XO Thames"/>
          <w:sz w:val="2"/>
        </w:rPr>
        <w:tab/>
      </w:r>
      <w:r>
        <w:rPr>
          <w:rFonts w:ascii="XO Thames" w:hAnsi="XO Thames"/>
          <w:sz w:val="2"/>
        </w:rPr>
        <w:tab/>
      </w:r>
      <w:r>
        <w:rPr>
          <w:rFonts w:ascii="XO Thames" w:hAnsi="XO Thames"/>
          <w:sz w:val="2"/>
        </w:rPr>
        <w:tab/>
      </w:r>
    </w:p>
    <w:tbl>
      <w:tblPr>
        <w:tblStyle w:val="Style_2"/>
        <w:tblW w:type="auto" w:w="0"/>
        <w:tblInd w:type="dxa" w:w="-9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2132"/>
        <w:gridCol w:w="2268"/>
        <w:gridCol w:w="1276"/>
        <w:gridCol w:w="1276"/>
        <w:gridCol w:w="1247"/>
        <w:gridCol w:w="1247"/>
        <w:gridCol w:w="1247"/>
      </w:tblGrid>
      <w:tr>
        <w:trPr>
          <w:tblHeader/>
        </w:trPr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7</w:t>
            </w:r>
          </w:p>
        </w:tc>
      </w:tr>
      <w:tr>
        <w:trPr>
          <w:trHeight w:hRule="atLeast" w:val="234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Муниципальная программа Крапивинского муниципально-го округа «</w:t>
            </w:r>
            <w:r>
              <w:rPr>
                <w:rFonts w:ascii="XO Thames" w:hAnsi="XO Thames"/>
                <w:sz w:val="28"/>
              </w:rPr>
              <w:t>Организация местного самоуправления в Крапивинском муниципальном округе</w:t>
            </w:r>
            <w:r>
              <w:rPr>
                <w:rFonts w:ascii="XO Thames" w:hAnsi="XO Thames"/>
                <w:sz w:val="28"/>
              </w:rPr>
              <w:t>» на 2023 – 20</w:t>
            </w:r>
            <w:r>
              <w:rPr>
                <w:rFonts w:ascii="XO Thames" w:hAnsi="XO Thames"/>
                <w:sz w:val="28"/>
              </w:rPr>
              <w:t>27</w:t>
            </w:r>
            <w:r>
              <w:rPr>
                <w:rFonts w:ascii="XO Thames" w:hAnsi="XO Thames"/>
                <w:sz w:val="28"/>
              </w:rPr>
              <w:t xml:space="preserve"> годы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  <w:r>
              <w:rPr>
                <w:rFonts w:ascii="XO Thames" w:hAnsi="XO Thames"/>
                <w:sz w:val="28"/>
              </w:rPr>
              <w:t>23529</w:t>
            </w:r>
            <w:r>
              <w:rPr>
                <w:rFonts w:ascii="XO Thames" w:hAnsi="XO Thames"/>
                <w:sz w:val="28"/>
              </w:rPr>
              <w:t>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136772,2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131627,2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104559,5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104601,4</w:t>
            </w:r>
          </w:p>
        </w:tc>
      </w:tr>
      <w:tr>
        <w:trPr>
          <w:trHeight w:hRule="atLeast" w:val="225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121919</w:t>
            </w:r>
            <w:r>
              <w:rPr>
                <w:rFonts w:ascii="XO Thames" w:hAnsi="XO Thames"/>
                <w:sz w:val="28"/>
              </w:rPr>
              <w:t>,</w:t>
            </w:r>
            <w:r>
              <w:rPr>
                <w:rFonts w:ascii="XO Thames" w:hAnsi="XO Thames"/>
                <w:sz w:val="28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134878,7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129456,6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102177,6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102177,6</w:t>
            </w:r>
          </w:p>
        </w:tc>
      </w:tr>
      <w:tr>
        <w:trPr>
          <w:trHeight w:hRule="atLeast" w:val="640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иные не запрещенные законодатель-ством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20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114,9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121,0</w:t>
            </w:r>
          </w:p>
        </w:tc>
      </w:tr>
      <w:tr>
        <w:trPr>
          <w:trHeight w:hRule="atLeast" w:val="320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1465,2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1778,6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2049,6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2260,9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2302,8</w:t>
            </w:r>
          </w:p>
        </w:tc>
      </w:tr>
      <w:tr>
        <w:trPr>
          <w:trHeight w:hRule="atLeast" w:val="320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0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 Подпрограмма «Обеспечение деятельности органов местного самоуправле-ния»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119904</w:t>
            </w:r>
            <w:r>
              <w:rPr>
                <w:rFonts w:ascii="XO Thames" w:hAnsi="XO Thames"/>
                <w:sz w:val="28"/>
              </w:rPr>
              <w:t>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132694,6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127544,1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99958,6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99958,6</w:t>
            </w:r>
          </w:p>
        </w:tc>
      </w:tr>
      <w:tr>
        <w:trPr>
          <w:trHeight w:hRule="atLeast" w:val="320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1197</w:t>
            </w:r>
            <w:r>
              <w:rPr>
                <w:rFonts w:ascii="XO Thames" w:hAnsi="XO Thames"/>
                <w:sz w:val="28"/>
              </w:rPr>
              <w:t>59,1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132579,7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127423,1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99837,6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99837,6</w:t>
            </w:r>
          </w:p>
        </w:tc>
      </w:tr>
      <w:tr>
        <w:trPr>
          <w:trHeight w:hRule="atLeast" w:val="320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114,9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121,0</w:t>
            </w:r>
          </w:p>
        </w:tc>
      </w:tr>
      <w:tr>
        <w:trPr>
          <w:trHeight w:hRule="atLeast" w:val="776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00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00000">
            <w:pPr>
              <w:pStyle w:val="Style_5"/>
              <w:widowControl w:val="1"/>
              <w:tabs>
                <w:tab w:leader="none" w:pos="12474" w:val="left"/>
              </w:tabs>
              <w:ind w:firstLine="0" w:left="29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1: Глава</w:t>
            </w:r>
            <w:r>
              <w:rPr>
                <w:rFonts w:ascii="XO Thames" w:hAnsi="XO Thames"/>
                <w:sz w:val="28"/>
              </w:rPr>
              <w:t xml:space="preserve"> Крапивинского муниципально-го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2676</w:t>
            </w:r>
            <w:r>
              <w:rPr>
                <w:rFonts w:ascii="XO Thames" w:hAnsi="XO Thames"/>
                <w:sz w:val="28"/>
              </w:rPr>
              <w:t>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2818,6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3026,8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2186,0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2186,0</w:t>
            </w:r>
          </w:p>
        </w:tc>
      </w:tr>
      <w:tr>
        <w:trPr>
          <w:trHeight w:hRule="atLeast" w:val="367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2676,1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2818,6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3026,8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2186,0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2186,0</w:t>
            </w:r>
          </w:p>
        </w:tc>
      </w:tr>
      <w:tr>
        <w:trPr>
          <w:trHeight w:hRule="atLeast" w:val="367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2: Председатель Совета народных депутатов Крапивинского муниципально-го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1511,7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1655,2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1497,6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1217,0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1217,0</w:t>
            </w:r>
          </w:p>
        </w:tc>
      </w:tr>
      <w:tr>
        <w:trPr>
          <w:trHeight w:hRule="atLeast" w:val="367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1511,7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1655,2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1497,6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1217,0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1217,0</w:t>
            </w:r>
          </w:p>
        </w:tc>
      </w:tr>
      <w:tr>
        <w:trPr>
          <w:trHeight w:hRule="atLeast" w:val="282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0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3:</w:t>
            </w:r>
          </w:p>
          <w:p w14:paraId="7500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Председатель контрольно – счетного органа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896,3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979,6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960,9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759,0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759,0</w:t>
            </w:r>
          </w:p>
        </w:tc>
      </w:tr>
      <w:tr>
        <w:trPr>
          <w:trHeight w:hRule="atLeast" w:val="362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896,3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979,6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960,9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759,0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759,0</w:t>
            </w:r>
          </w:p>
        </w:tc>
      </w:tr>
      <w:tr>
        <w:trPr>
          <w:trHeight w:hRule="atLeast" w:val="351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0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4: Обеспечение деятельности органов муниципальной власти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114104,9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126601,0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121733,6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95471,4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95471,4</w:t>
            </w:r>
          </w:p>
        </w:tc>
      </w:tr>
      <w:tr>
        <w:trPr>
          <w:trHeight w:hRule="atLeast" w:val="351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114104,9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126601,0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121733,6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95471,4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95471,4</w:t>
            </w:r>
          </w:p>
        </w:tc>
      </w:tr>
      <w:tr>
        <w:trPr>
          <w:trHeight w:hRule="atLeast" w:val="320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0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5: Единовремен-ное поощрение муниципальным служащим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570,1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525,3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204,2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204,2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204,2</w:t>
            </w:r>
          </w:p>
        </w:tc>
      </w:tr>
      <w:tr>
        <w:trPr>
          <w:trHeight w:hRule="atLeast" w:val="320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570,1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525,3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204,2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204,2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204,2</w:t>
            </w:r>
          </w:p>
        </w:tc>
      </w:tr>
      <w:tr>
        <w:trPr>
          <w:trHeight w:hRule="atLeast" w:val="342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0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6: Осуществление государствен-ных полномочий Кемеровской области - Кузбасса по хранению, комплектова-нию,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31</w:t>
            </w:r>
            <w:r>
              <w:rPr>
                <w:rFonts w:ascii="XO Thames" w:hAnsi="XO Thames"/>
                <w:sz w:val="28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27,0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27,0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27,0</w:t>
            </w:r>
          </w:p>
        </w:tc>
      </w:tr>
      <w:tr>
        <w:trPr>
          <w:trHeight w:hRule="atLeast" w:val="320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31</w:t>
            </w:r>
            <w:r>
              <w:rPr>
                <w:rFonts w:ascii="XO Thames" w:hAnsi="XO Thames"/>
                <w:sz w:val="28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27,0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27,0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27,0</w:t>
            </w:r>
          </w:p>
        </w:tc>
      </w:tr>
      <w:tr>
        <w:trPr>
          <w:trHeight w:hRule="atLeast" w:val="320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00000">
            <w:pPr>
              <w:pStyle w:val="Style_5"/>
              <w:widowControl w:val="1"/>
              <w:tabs>
                <w:tab w:leader="none" w:pos="12474" w:val="left"/>
              </w:tabs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7: Создание и функционирование административ-ных комиссий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83,9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94,0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94,0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94,0</w:t>
            </w:r>
          </w:p>
        </w:tc>
      </w:tr>
      <w:tr>
        <w:trPr>
          <w:trHeight w:hRule="atLeast" w:val="320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83,9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94,0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94,0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94,0</w:t>
            </w:r>
          </w:p>
        </w:tc>
      </w:tr>
      <w:tr>
        <w:trPr>
          <w:trHeight w:hRule="atLeast" w:val="303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00000">
            <w:pPr>
              <w:pStyle w:val="Style_5"/>
              <w:widowControl w:val="1"/>
              <w:tabs>
                <w:tab w:leader="none" w:pos="12474" w:val="left"/>
              </w:tabs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2. Подпрограмма «Реализация прочих вопросов при осуществлении деятельности органов местного самоуправления»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  <w:r>
              <w:rPr>
                <w:rFonts w:ascii="XO Thames" w:hAnsi="XO Thames"/>
                <w:sz w:val="28"/>
              </w:rPr>
              <w:t>488,4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3074,9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2564,0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3600,9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3642,8</w:t>
            </w:r>
          </w:p>
        </w:tc>
      </w:tr>
      <w:tr>
        <w:trPr>
          <w:trHeight w:hRule="atLeast" w:val="383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  <w:r>
              <w:rPr>
                <w:rFonts w:ascii="XO Thames" w:hAnsi="XO Thames"/>
                <w:sz w:val="28"/>
              </w:rPr>
              <w:t>023,2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1296,3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514,4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1340,0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1340,0</w:t>
            </w:r>
          </w:p>
        </w:tc>
      </w:tr>
      <w:tr>
        <w:trPr>
          <w:trHeight w:hRule="atLeast" w:val="1278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2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46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1465,2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1778,6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2049,6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2260,9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2302,8</w:t>
            </w:r>
          </w:p>
        </w:tc>
      </w:tr>
      <w:tr>
        <w:trPr>
          <w:trHeight w:hRule="atLeast" w:val="283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00000">
            <w:pPr>
              <w:pStyle w:val="Style_1"/>
              <w:widowControl w:val="0"/>
              <w:ind w:firstLine="0" w:left="-1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1: Проведение выборов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666,6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10,0</w:t>
            </w:r>
          </w:p>
        </w:tc>
      </w:tr>
      <w:tr>
        <w:trPr>
          <w:trHeight w:hRule="atLeast" w:val="283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666,6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10,0</w:t>
            </w:r>
          </w:p>
        </w:tc>
      </w:tr>
      <w:tr>
        <w:trPr>
          <w:trHeight w:hRule="atLeast" w:val="283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00000">
            <w:pPr>
              <w:pStyle w:val="Style_1"/>
              <w:widowControl w:val="0"/>
              <w:ind w:firstLine="0" w:left="-1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2: Резервный фонд администрации Крапивинского муниципально-го округа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258,4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</w:tr>
      <w:tr>
        <w:trPr>
          <w:trHeight w:hRule="atLeast" w:val="567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258,4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</w:tr>
      <w:tr>
        <w:trPr>
          <w:trHeight w:hRule="atLeast" w:val="283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00000">
            <w:pPr>
              <w:pStyle w:val="Style_1"/>
              <w:widowControl w:val="0"/>
              <w:ind w:firstLine="0" w:left="-1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3: Выполнение других обязательств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616,3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629,7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514,4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300,0</w:t>
            </w:r>
          </w:p>
        </w:tc>
      </w:tr>
      <w:tr>
        <w:trPr>
          <w:trHeight w:hRule="atLeast" w:val="283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616,3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629,7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514,4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300,0</w:t>
            </w:r>
          </w:p>
        </w:tc>
      </w:tr>
      <w:tr>
        <w:trPr>
          <w:trHeight w:hRule="atLeast" w:val="283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00000">
            <w:pPr>
              <w:pStyle w:val="Style_1"/>
              <w:widowControl w:val="0"/>
              <w:ind w:firstLine="0" w:left="-1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4: Финансовое обеспечение расходов на организацион-ные мероприятия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0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0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30,0</w:t>
            </w:r>
          </w:p>
        </w:tc>
      </w:tr>
      <w:tr>
        <w:trPr>
          <w:trHeight w:hRule="atLeast" w:val="283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30,0</w:t>
            </w:r>
          </w:p>
        </w:tc>
      </w:tr>
      <w:tr>
        <w:trPr>
          <w:trHeight w:hRule="atLeast" w:val="283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10000">
            <w:pPr>
              <w:pStyle w:val="Style_1"/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5: Основное мероприятие: Реализация проекта «Курс на семью»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139,1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  <w:r>
              <w:rPr>
                <w:rFonts w:ascii="XO Thames" w:hAnsi="XO Thames"/>
                <w:sz w:val="28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  <w:r>
              <w:rPr>
                <w:rFonts w:ascii="XO Thames" w:hAnsi="XO Thames"/>
                <w:sz w:val="28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  <w:r>
              <w:rPr>
                <w:rFonts w:ascii="XO Thames" w:hAnsi="XO Thames"/>
                <w:sz w:val="28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283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139,1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  <w:r>
              <w:rPr>
                <w:rFonts w:ascii="XO Thames" w:hAnsi="XO Thames"/>
                <w:sz w:val="28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  <w:r>
              <w:rPr>
                <w:rFonts w:ascii="XO Thames" w:hAnsi="XO Thames"/>
                <w:sz w:val="28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  <w:r>
              <w:rPr>
                <w:rFonts w:ascii="XO Thames" w:hAnsi="XO Thames"/>
                <w:sz w:val="28"/>
              </w:rPr>
              <w:t>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>
        <w:trPr>
          <w:trHeight w:hRule="atLeast" w:val="283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10000">
            <w:pPr>
              <w:pStyle w:val="Style_1"/>
              <w:widowControl w:val="0"/>
              <w:ind w:firstLine="0" w:left="-1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6: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1464,7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1753,4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2046,7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2221,0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2300,0</w:t>
            </w:r>
          </w:p>
        </w:tc>
      </w:tr>
      <w:tr>
        <w:trPr>
          <w:trHeight w:hRule="atLeast" w:val="697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1464,7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1753,4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2046,7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2221,0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2300,0</w:t>
            </w:r>
          </w:p>
        </w:tc>
      </w:tr>
      <w:tr>
        <w:trPr>
          <w:trHeight w:hRule="atLeast" w:val="283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10000">
            <w:pPr>
              <w:pStyle w:val="Style_1"/>
              <w:widowControl w:val="0"/>
              <w:ind w:firstLine="0" w:left="-1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7: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39,9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2,8</w:t>
            </w:r>
          </w:p>
        </w:tc>
      </w:tr>
      <w:tr>
        <w:trPr>
          <w:trHeight w:hRule="atLeast" w:val="697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39,9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2,8</w:t>
            </w:r>
          </w:p>
        </w:tc>
      </w:tr>
      <w:tr>
        <w:trPr>
          <w:trHeight w:hRule="atLeast" w:val="340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10000">
            <w:pPr>
              <w:pStyle w:val="Style_1"/>
              <w:widowControl w:val="0"/>
              <w:ind w:firstLine="0" w:left="-1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 Подпрограмма «Поддержка автомобильного транспорта»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1136,7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1002,7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1519,1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</w:tr>
      <w:tr>
        <w:trPr>
          <w:trHeight w:hRule="atLeast" w:val="320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1136,7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1002,7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1519,1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</w:tr>
      <w:tr>
        <w:trPr>
          <w:trHeight w:hRule="atLeast" w:val="284"/>
        </w:trPr>
        <w:tc>
          <w:tcPr>
            <w:tcW w:type="dxa" w:w="2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pStyle w:val="Style_1"/>
              <w:widowControl w:val="0"/>
              <w:ind w:firstLine="0" w:left="-1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Мероприятие 1: Поддержка автомобильного транспорта, осуществляющего пассажирские перевозки.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1136,7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1002,7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1519,1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</w:tr>
      <w:tr>
        <w:trPr>
          <w:trHeight w:hRule="atLeast" w:val="988"/>
        </w:trPr>
        <w:tc>
          <w:tcPr>
            <w:tcW w:type="dxa" w:w="2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1136,7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1002,7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1519,1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1000,0</w:t>
            </w:r>
          </w:p>
        </w:tc>
      </w:tr>
    </w:tbl>
    <w:p w14:paraId="4A010000">
      <w:pPr>
        <w:widowControl w:val="0"/>
        <w:ind/>
        <w:jc w:val="right"/>
        <w:rPr>
          <w:rFonts w:ascii="XO Thames" w:hAnsi="XO Thames"/>
        </w:rPr>
      </w:pPr>
    </w:p>
    <w:p w14:paraId="4B010000">
      <w:pPr>
        <w:widowControl w:val="0"/>
        <w:ind/>
        <w:jc w:val="right"/>
        <w:rPr>
          <w:rFonts w:ascii="XO Thames" w:hAnsi="XO Thames"/>
        </w:rPr>
      </w:pPr>
    </w:p>
    <w:p w14:paraId="4C010000">
      <w:pPr>
        <w:widowControl w:val="0"/>
        <w:ind/>
        <w:jc w:val="right"/>
        <w:rPr>
          <w:rFonts w:ascii="XO Thames" w:hAnsi="XO Thames"/>
        </w:rPr>
      </w:pPr>
    </w:p>
    <w:p w14:paraId="4D010000">
      <w:pPr>
        <w:widowControl w:val="0"/>
        <w:ind/>
        <w:jc w:val="right"/>
        <w:rPr>
          <w:rFonts w:ascii="XO Thames" w:hAnsi="XO Thames"/>
        </w:rPr>
      </w:pPr>
    </w:p>
    <w:p w14:paraId="4E010000">
      <w:pPr>
        <w:widowControl w:val="0"/>
        <w:ind/>
        <w:jc w:val="right"/>
        <w:rPr>
          <w:rFonts w:ascii="XO Thames" w:hAnsi="XO Thames"/>
        </w:rPr>
      </w:pPr>
    </w:p>
    <w:p w14:paraId="4F010000">
      <w:pPr>
        <w:widowControl w:val="0"/>
        <w:ind/>
        <w:jc w:val="right"/>
        <w:rPr>
          <w:rFonts w:ascii="XO Thames" w:hAnsi="XO Thames"/>
        </w:rPr>
      </w:pPr>
    </w:p>
    <w:p w14:paraId="50010000">
      <w:pPr>
        <w:widowControl w:val="0"/>
        <w:ind/>
        <w:jc w:val="right"/>
        <w:rPr>
          <w:rFonts w:ascii="XO Thames" w:hAnsi="XO Thames"/>
        </w:rPr>
      </w:pPr>
    </w:p>
    <w:p w14:paraId="51010000">
      <w:pPr>
        <w:widowControl w:val="0"/>
        <w:ind/>
        <w:jc w:val="right"/>
        <w:rPr>
          <w:rFonts w:ascii="XO Thames" w:hAnsi="XO Thames"/>
        </w:rPr>
      </w:pPr>
    </w:p>
    <w:p w14:paraId="52010000">
      <w:pPr>
        <w:widowControl w:val="0"/>
        <w:ind/>
        <w:jc w:val="right"/>
        <w:rPr>
          <w:rFonts w:ascii="XO Thames" w:hAnsi="XO Thames"/>
        </w:rPr>
      </w:pPr>
    </w:p>
    <w:p w14:paraId="53010000">
      <w:pPr>
        <w:widowControl w:val="0"/>
        <w:ind w:firstLine="0" w:left="0"/>
        <w:rPr>
          <w:rFonts w:ascii="XO Thames" w:hAnsi="XO Thames"/>
        </w:rPr>
      </w:pPr>
    </w:p>
    <w:p w14:paraId="54010000">
      <w:pPr>
        <w:widowControl w:val="0"/>
        <w:ind/>
        <w:jc w:val="right"/>
        <w:rPr>
          <w:rFonts w:ascii="XO Thames" w:hAnsi="XO Thames"/>
        </w:rPr>
      </w:pPr>
    </w:p>
    <w:p w14:paraId="55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56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57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58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59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5A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5B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5C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5D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tbl>
      <w:tblPr>
        <w:tblStyle w:val="Style_2"/>
        <w:tblW w:type="auto" w:w="0"/>
        <w:tblInd w:type="dxa" w:w="-6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2343"/>
        <w:gridCol w:w="1740"/>
        <w:gridCol w:w="1276"/>
        <w:gridCol w:w="1134"/>
        <w:gridCol w:w="851"/>
        <w:gridCol w:w="850"/>
        <w:gridCol w:w="851"/>
        <w:gridCol w:w="851"/>
      </w:tblGrid>
      <w:tr>
        <w:trPr>
          <w:trHeight w:hRule="atLeast" w:val="480"/>
        </w:trPr>
        <w:tc>
          <w:tcPr>
            <w:tcW w:type="dxa" w:w="23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Наименование</w:t>
            </w:r>
          </w:p>
          <w:p w14:paraId="5F01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муниципальной программы,</w:t>
            </w:r>
          </w:p>
          <w:p w14:paraId="6001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подпрограммы,</w:t>
            </w:r>
          </w:p>
          <w:p w14:paraId="6101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мероприятия</w:t>
            </w:r>
          </w:p>
        </w:tc>
        <w:tc>
          <w:tcPr>
            <w:tcW w:type="dxa" w:w="17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Наименование целевого</w:t>
            </w:r>
          </w:p>
          <w:p w14:paraId="6301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показателя (индикатора)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3"/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Единица</w:t>
            </w:r>
          </w:p>
          <w:p w14:paraId="65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</w:t>
            </w:r>
            <w:r>
              <w:rPr>
                <w:rFonts w:ascii="XO Thames" w:hAnsi="XO Thames"/>
                <w:sz w:val="28"/>
              </w:rPr>
              <w:t>змерения</w:t>
            </w:r>
          </w:p>
        </w:tc>
        <w:tc>
          <w:tcPr>
            <w:tcW w:type="dxa" w:w="453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345"/>
        </w:trPr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2023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2024 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2025 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2026</w:t>
            </w:r>
          </w:p>
          <w:p w14:paraId="6B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6C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2027</w:t>
            </w:r>
          </w:p>
          <w:p w14:paraId="6D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год</w:t>
            </w:r>
          </w:p>
        </w:tc>
      </w:tr>
    </w:tbl>
    <w:p w14:paraId="6E010000">
      <w:pPr>
        <w:pStyle w:val="Style_4"/>
        <w:widowControl w:val="0"/>
        <w:tabs>
          <w:tab w:leader="none" w:pos="3790" w:val="left"/>
          <w:tab w:leader="none" w:pos="6096" w:val="left"/>
          <w:tab w:leader="none" w:pos="6820" w:val="left"/>
          <w:tab w:leader="none" w:pos="7586" w:val="left"/>
          <w:tab w:leader="none" w:pos="8333" w:val="left"/>
        </w:tabs>
        <w:ind w:firstLine="0" w:left="-67"/>
        <w:rPr>
          <w:rFonts w:ascii="XO Thames" w:hAnsi="XO Thames"/>
          <w:sz w:val="2"/>
        </w:rPr>
      </w:pPr>
      <w:r>
        <w:rPr>
          <w:rFonts w:ascii="XO Thames" w:hAnsi="XO Thames"/>
          <w:sz w:val="2"/>
        </w:rPr>
        <w:tab/>
      </w:r>
      <w:r>
        <w:rPr>
          <w:rFonts w:ascii="XO Thames" w:hAnsi="XO Thames"/>
          <w:sz w:val="2"/>
        </w:rPr>
        <w:tab/>
      </w:r>
      <w:r>
        <w:rPr>
          <w:rFonts w:ascii="XO Thames" w:hAnsi="XO Thames"/>
          <w:sz w:val="2"/>
        </w:rPr>
        <w:tab/>
      </w:r>
      <w:r>
        <w:rPr>
          <w:rFonts w:ascii="XO Thames" w:hAnsi="XO Thames"/>
          <w:sz w:val="2"/>
        </w:rPr>
        <w:tab/>
      </w:r>
      <w:r>
        <w:rPr>
          <w:rFonts w:ascii="XO Thames" w:hAnsi="XO Thames"/>
          <w:sz w:val="2"/>
        </w:rPr>
        <w:tab/>
      </w:r>
    </w:p>
    <w:tbl>
      <w:tblPr>
        <w:tblStyle w:val="Style_2"/>
        <w:tblW w:type="auto" w:w="0"/>
        <w:tblInd w:type="dxa" w:w="-6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2343"/>
        <w:gridCol w:w="1740"/>
        <w:gridCol w:w="1276"/>
        <w:gridCol w:w="1134"/>
        <w:gridCol w:w="851"/>
        <w:gridCol w:w="850"/>
        <w:gridCol w:w="850"/>
        <w:gridCol w:w="850"/>
      </w:tblGrid>
      <w:tr>
        <w:trPr>
          <w:tblHeader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</w:t>
            </w:r>
          </w:p>
        </w:tc>
      </w:tr>
      <w:tr>
        <w:trPr>
          <w:tblHeader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pStyle w:val="Style_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Муниципальная программа «</w:t>
            </w:r>
            <w:r>
              <w:rPr>
                <w:rFonts w:ascii="XO Thames" w:hAnsi="XO Thames"/>
                <w:sz w:val="28"/>
              </w:rPr>
              <w:t>Организация местного самоуправления в Крапивинском муниципальном округе</w:t>
            </w:r>
            <w:r>
              <w:rPr>
                <w:rFonts w:ascii="XO Thames" w:hAnsi="XO Thames"/>
                <w:sz w:val="28"/>
              </w:rPr>
              <w:t>» на 2023 – 2027</w:t>
            </w:r>
            <w:r>
              <w:rPr>
                <w:rFonts w:ascii="XO Thames" w:hAnsi="XO Thames"/>
                <w:sz w:val="28"/>
              </w:rPr>
              <w:t xml:space="preserve"> годы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480"/>
          <w:tblHeader/>
        </w:trPr>
        <w:tc>
          <w:tcPr>
            <w:tcW w:type="dxa" w:w="23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widowControl w:val="0"/>
              <w:ind w:firstLine="0" w:left="0" w:right="-156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 Подпрограмма «Обеспечение деятельности органов местного самоуправления»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Удовлетво-ренность населения деятельнос-тью органов местного самоуправления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91</w:t>
            </w:r>
          </w:p>
        </w:tc>
      </w:tr>
      <w:tr>
        <w:trPr>
          <w:trHeight w:hRule="atLeast" w:val="320"/>
          <w:tblHeader/>
        </w:trPr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Расходы бюджета округа на содержание работников органов местного самоуправления в расчете на 1 жителя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тыс.руб.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4,4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4,3</w:t>
            </w:r>
          </w:p>
        </w:tc>
      </w:tr>
      <w:tr>
        <w:trPr>
          <w:trHeight w:hRule="atLeast" w:val="320"/>
          <w:tblHeader/>
        </w:trPr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1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Темп роста объема налоговых и неналоговых доходов бюджета Крапивинского муниципального округа (ОС3)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widowControl w:val="0"/>
              <w:spacing w:afterAutospacing="on" w:beforeAutospacing="on"/>
              <w:ind w:hanging="60" w:left="60"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107</w:t>
            </w:r>
          </w:p>
          <w:p w14:paraId="91010000">
            <w:pPr>
              <w:widowControl w:val="0"/>
              <w:spacing w:afterAutospacing="on" w:beforeAutospacing="on"/>
              <w:ind/>
              <w:contextualSpacing w:val="1"/>
              <w:rPr>
                <w:rFonts w:ascii="XO Thames" w:hAnsi="XO Thames"/>
                <w:sz w:val="28"/>
              </w:rPr>
            </w:pPr>
          </w:p>
          <w:p w14:paraId="9201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10000">
            <w:pPr>
              <w:widowControl w:val="0"/>
              <w:spacing w:afterAutospacing="on" w:beforeAutospacing="on"/>
              <w:ind w:hanging="105" w:left="105"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107</w:t>
            </w:r>
          </w:p>
          <w:p w14:paraId="94010000">
            <w:pPr>
              <w:widowControl w:val="0"/>
              <w:spacing w:afterAutospacing="on" w:beforeAutospacing="on"/>
              <w:ind/>
              <w:contextualSpacing w:val="1"/>
              <w:rPr>
                <w:rFonts w:ascii="XO Thames" w:hAnsi="XO Thames"/>
                <w:sz w:val="28"/>
              </w:rPr>
            </w:pPr>
          </w:p>
          <w:p w14:paraId="9501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10000">
            <w:pPr>
              <w:widowControl w:val="0"/>
              <w:spacing w:afterAutospacing="on" w:beforeAutospacing="on"/>
              <w:ind w:firstLine="12" w:left="0"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107</w:t>
            </w:r>
          </w:p>
          <w:p w14:paraId="97010000">
            <w:pPr>
              <w:widowControl w:val="0"/>
              <w:spacing w:afterAutospacing="on" w:beforeAutospacing="on"/>
              <w:ind/>
              <w:contextualSpacing w:val="1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10000">
            <w:pPr>
              <w:widowControl w:val="0"/>
              <w:spacing w:afterAutospacing="on" w:beforeAutospacing="on"/>
              <w:ind w:firstLine="12" w:left="0"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107</w:t>
            </w:r>
          </w:p>
          <w:p w14:paraId="99010000">
            <w:pPr>
              <w:widowControl w:val="0"/>
              <w:spacing w:afterAutospacing="on" w:beforeAutospacing="on"/>
              <w:ind w:firstLine="12" w:left="0"/>
              <w:contextualSpacing w:val="1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10000">
            <w:pPr>
              <w:widowControl w:val="0"/>
              <w:spacing w:afterAutospacing="on" w:beforeAutospacing="on"/>
              <w:ind w:firstLine="12" w:left="0"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107</w:t>
            </w:r>
          </w:p>
        </w:tc>
      </w:tr>
      <w:tr>
        <w:trPr>
          <w:trHeight w:hRule="atLeast" w:val="320"/>
          <w:tblHeader/>
        </w:trPr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1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Удельный вес расходов бюджета Крапивинского муниципального округа, формируемых в рамках программ (ПЭ1)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10000">
            <w:pPr>
              <w:widowControl w:val="0"/>
              <w:ind w:firstLine="81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90</w:t>
            </w:r>
          </w:p>
          <w:p w14:paraId="9E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9F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A0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A1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A2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1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90</w:t>
            </w:r>
          </w:p>
          <w:p w14:paraId="A4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A5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A6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A7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A8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1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90</w:t>
            </w:r>
          </w:p>
          <w:p w14:paraId="AA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1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90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1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90</w:t>
            </w:r>
          </w:p>
        </w:tc>
      </w:tr>
      <w:tr>
        <w:trPr>
          <w:trHeight w:hRule="atLeast" w:val="320"/>
          <w:tblHeader/>
        </w:trPr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1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Доля расходов бюджета Крапивинского муниципального округа, направленная на поддержку и развитие социальной сферы (ПЭ2)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10000">
            <w:pPr>
              <w:widowControl w:val="0"/>
              <w:ind w:firstLine="81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50</w:t>
            </w:r>
          </w:p>
          <w:p w14:paraId="B0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B1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B2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B3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B4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1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50</w:t>
            </w:r>
          </w:p>
          <w:p w14:paraId="B6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B7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B8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B9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BA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1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50</w:t>
            </w:r>
          </w:p>
          <w:p w14:paraId="BC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BD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BE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BF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C0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1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50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10000">
            <w:pPr>
              <w:widowControl w:val="0"/>
              <w:ind w:firstLine="0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≥</w:t>
            </w:r>
            <w:r>
              <w:rPr>
                <w:rFonts w:ascii="XO Thames" w:hAnsi="XO Thames"/>
                <w:sz w:val="28"/>
              </w:rPr>
              <w:t xml:space="preserve"> 50</w:t>
            </w:r>
          </w:p>
        </w:tc>
      </w:tr>
      <w:tr>
        <w:trPr>
          <w:trHeight w:hRule="atLeast" w:val="320"/>
          <w:tblHeader/>
        </w:trPr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1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Отношение объема просрочен-ной кредитор-ской задолжен-ности Крапивинс-кого муниципального округа к расходам бюджета (ПЭ3)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%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5010000">
            <w:pPr>
              <w:widowControl w:val="0"/>
              <w:ind w:hanging="486" w:left="486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≤</w:t>
            </w:r>
          </w:p>
          <w:p w14:paraId="C6010000">
            <w:pPr>
              <w:widowControl w:val="0"/>
              <w:ind w:firstLine="81" w:lef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0,12</w:t>
            </w:r>
          </w:p>
          <w:p w14:paraId="C7010000">
            <w:pPr>
              <w:widowControl w:val="0"/>
              <w:ind w:firstLine="81" w:left="0"/>
              <w:jc w:val="center"/>
              <w:rPr>
                <w:rFonts w:ascii="XO Thames" w:hAnsi="XO Thames"/>
                <w:sz w:val="28"/>
              </w:rPr>
            </w:pPr>
          </w:p>
          <w:p w14:paraId="C8010000">
            <w:pPr>
              <w:widowControl w:val="0"/>
              <w:ind w:firstLine="81" w:left="0"/>
              <w:jc w:val="center"/>
              <w:rPr>
                <w:rFonts w:ascii="XO Thames" w:hAnsi="XO Thames"/>
                <w:sz w:val="28"/>
              </w:rPr>
            </w:pPr>
          </w:p>
          <w:p w14:paraId="C9010000">
            <w:pPr>
              <w:widowControl w:val="0"/>
              <w:ind w:firstLine="81" w:left="0"/>
              <w:jc w:val="center"/>
              <w:rPr>
                <w:rFonts w:ascii="XO Thames" w:hAnsi="XO Thames"/>
                <w:sz w:val="28"/>
              </w:rPr>
            </w:pPr>
          </w:p>
          <w:p w14:paraId="CA010000">
            <w:pPr>
              <w:widowControl w:val="0"/>
              <w:ind w:firstLine="81" w:left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10000">
            <w:pPr>
              <w:widowControl w:val="0"/>
              <w:ind w:hanging="530" w:left="53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≤</w:t>
            </w:r>
          </w:p>
          <w:p w14:paraId="CC010000">
            <w:pPr>
              <w:widowControl w:val="0"/>
              <w:ind w:hanging="105" w:left="105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0,12</w:t>
            </w:r>
          </w:p>
          <w:p w14:paraId="CD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CE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CF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  <w:p w14:paraId="D0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1010000">
            <w:pPr>
              <w:widowControl w:val="0"/>
              <w:ind w:hanging="555" w:left="555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≤</w:t>
            </w:r>
          </w:p>
          <w:p w14:paraId="D2010000">
            <w:pPr>
              <w:widowControl w:val="0"/>
              <w:ind w:hanging="130" w:left="13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0,12</w:t>
            </w:r>
          </w:p>
          <w:p w14:paraId="D301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4010000">
            <w:pPr>
              <w:widowControl w:val="0"/>
              <w:ind w:hanging="555" w:left="555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≤</w:t>
            </w:r>
          </w:p>
          <w:p w14:paraId="D5010000">
            <w:pPr>
              <w:widowControl w:val="0"/>
              <w:ind w:hanging="130" w:left="13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0,12</w:t>
            </w:r>
          </w:p>
          <w:p w14:paraId="D6010000">
            <w:pPr>
              <w:widowControl w:val="0"/>
              <w:ind w:hanging="555" w:left="555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10000">
            <w:pPr>
              <w:widowControl w:val="0"/>
              <w:ind w:hanging="555" w:left="555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≤</w:t>
            </w:r>
          </w:p>
          <w:p w14:paraId="D8010000">
            <w:pPr>
              <w:widowControl w:val="0"/>
              <w:ind w:hanging="130" w:left="13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0,12</w:t>
            </w:r>
          </w:p>
          <w:p w14:paraId="D9010000">
            <w:pPr>
              <w:widowControl w:val="0"/>
              <w:ind w:hanging="555" w:left="555"/>
              <w:jc w:val="center"/>
              <w:rPr>
                <w:rFonts w:ascii="XO Thames" w:hAnsi="XO Thames"/>
                <w:sz w:val="28"/>
              </w:rPr>
            </w:pPr>
          </w:p>
          <w:p w14:paraId="DA010000">
            <w:pPr>
              <w:widowControl w:val="0"/>
              <w:ind w:hanging="555" w:left="555"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20"/>
          <w:tblHeader/>
        </w:trPr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10000">
            <w:pPr>
              <w:widowControl w:val="0"/>
              <w:ind w:firstLine="0" w:lef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Размещение показателей на каждое первое число месяца: доходов и расходов бюджета Крапивинского муниципального округа в динамике; исполнения бюджета Крапивинского муниципального округа; муниципальных программ Крапивинского муниципального округа; структуры и динамики муниципального долга Крапивинского муниципального округа, (ПП1)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да/нет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10000">
            <w:pPr>
              <w:widowControl w:val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10000">
            <w:pPr>
              <w:widowControl w:val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10000">
            <w:pPr>
              <w:widowControl w:val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10000">
            <w:pPr>
              <w:widowControl w:val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10000">
            <w:pPr>
              <w:widowControl w:val="0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</w:t>
            </w:r>
          </w:p>
        </w:tc>
      </w:tr>
      <w:tr>
        <w:trPr>
          <w:trHeight w:hRule="atLeast" w:val="320"/>
          <w:tblHeader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10000">
            <w:pPr>
              <w:pStyle w:val="Style_1"/>
              <w:widowControl w:val="0"/>
              <w:ind w:firstLine="0" w:left="-1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2. Подпрограмма «Реализация прочих вопросов при осуществлении деятельности органов местного самоуправления»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10000">
            <w:pPr>
              <w:widowControl w:val="0"/>
              <w:ind w:firstLine="0" w:left="0" w:right="-75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Количество мероприятий, на финансовое обеспечение которых использова-лись средства резервного фонда, единиц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</w:tr>
      <w:tr>
        <w:trPr>
          <w:trHeight w:hRule="atLeast" w:val="320"/>
          <w:tblHeader/>
        </w:trPr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10000">
            <w:pPr>
              <w:pStyle w:val="Style_1"/>
              <w:widowControl w:val="0"/>
              <w:ind w:firstLine="0" w:left="-17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 Подпрограмма «Поддержка автомобильного транспорта, осуществляющего пассажирские перевозки»</w:t>
            </w:r>
          </w:p>
        </w:tc>
        <w:tc>
          <w:tcPr>
            <w:tcW w:type="dxa" w:w="1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10000">
            <w:pPr>
              <w:widowControl w:val="0"/>
              <w:ind w:firstLine="0" w:left="0" w:right="-75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Количество маршрутов, по которым производится возмещение расходов за фактически выполненные пассажирские перевозки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10000">
            <w:pPr>
              <w:pStyle w:val="Style_4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</w:tr>
    </w:tbl>
    <w:p w14:paraId="F2010000">
      <w:pPr>
        <w:widowControl w:val="0"/>
        <w:ind w:firstLine="0" w:left="0"/>
        <w:jc w:val="center"/>
        <w:rPr>
          <w:rFonts w:ascii="XO Thames" w:hAnsi="XO Thames"/>
          <w:sz w:val="28"/>
        </w:rPr>
      </w:pPr>
    </w:p>
    <w:p w14:paraId="F3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4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5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6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7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8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9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A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B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C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D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E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FF01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0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1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2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3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4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5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6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7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8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9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A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B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C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D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E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0F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10020000">
      <w:pPr>
        <w:widowControl w:val="0"/>
        <w:ind w:firstLine="0" w:left="0"/>
        <w:jc w:val="center"/>
        <w:rPr>
          <w:rFonts w:ascii="XO Thames" w:hAnsi="XO Thames"/>
          <w:b w:val="1"/>
          <w:sz w:val="28"/>
        </w:rPr>
      </w:pPr>
    </w:p>
    <w:p w14:paraId="11020000">
      <w:pPr>
        <w:widowControl w:val="0"/>
        <w:ind/>
        <w:jc w:val="right"/>
        <w:rPr>
          <w:rFonts w:ascii="XO Thames" w:hAnsi="XO Thames"/>
        </w:rPr>
      </w:pPr>
    </w:p>
    <w:sectPr>
      <w:type w:val="continuous"/>
      <w:pgSz w:h="16838" w:orient="portrait" w:w="11905"/>
      <w:pgMar w:bottom="1134" w:footer="720" w:gutter="0" w:header="720" w:left="1701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lvlText w:val="%1."/>
      <w:lvlJc w:val="left"/>
      <w:pPr>
        <w:widowControl w:val="0"/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18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 w:firstLine="567" w:left="0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3" w:type="paragraph">
    <w:name w:val="Table!"/>
    <w:next w:val="Style_4"/>
    <w:link w:val="Style_3_ch"/>
    <w:pPr>
      <w:widowControl w:val="0"/>
      <w:ind/>
      <w:jc w:val="center"/>
    </w:pPr>
    <w:rPr>
      <w:rFonts w:ascii="Arial" w:hAnsi="Arial"/>
      <w:b w:val="1"/>
      <w:sz w:val="24"/>
    </w:rPr>
  </w:style>
  <w:style w:styleId="Style_3_ch" w:type="character">
    <w:name w:val="Table!"/>
    <w:link w:val="Style_3"/>
    <w:rPr>
      <w:rFonts w:ascii="Arial" w:hAnsi="Arial"/>
      <w:b w:val="1"/>
      <w:sz w:val="24"/>
    </w:rPr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Application!Приложение"/>
    <w:link w:val="Style_9_ch"/>
    <w:pPr>
      <w:widowControl w:val="0"/>
      <w:spacing w:after="120" w:before="120"/>
      <w:ind/>
      <w:jc w:val="right"/>
    </w:pPr>
    <w:rPr>
      <w:rFonts w:ascii="Arial" w:hAnsi="Arial"/>
      <w:b w:val="1"/>
      <w:sz w:val="32"/>
    </w:rPr>
  </w:style>
  <w:style w:styleId="Style_9_ch" w:type="character">
    <w:name w:val="Application!Приложение"/>
    <w:link w:val="Style_9"/>
    <w:rPr>
      <w:rFonts w:ascii="Arial" w:hAnsi="Arial"/>
      <w:b w:val="1"/>
      <w:sz w:val="32"/>
    </w:rPr>
  </w:style>
  <w:style w:styleId="Style_10" w:type="paragraph">
    <w:name w:val="toc 6"/>
    <w:next w:val="Style_6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6"/>
    <w:link w:val="Style_13_ch"/>
    <w:uiPriority w:val="9"/>
    <w:qFormat/>
    <w:pPr>
      <w:widowControl w:val="0"/>
      <w:ind/>
      <w:outlineLvl w:val="2"/>
    </w:pPr>
    <w:rPr>
      <w:b w:val="1"/>
      <w:sz w:val="26"/>
    </w:rPr>
  </w:style>
  <w:style w:styleId="Style_13_ch" w:type="character">
    <w:name w:val="heading 3"/>
    <w:basedOn w:val="Style_6_ch"/>
    <w:link w:val="Style_13"/>
    <w:rPr>
      <w:b w:val="1"/>
      <w:sz w:val="26"/>
    </w:rPr>
  </w:style>
  <w:style w:styleId="Style_14" w:type="paragraph">
    <w:name w:val="HTML Variable"/>
    <w:link w:val="Style_14_ch"/>
    <w:rPr>
      <w:rFonts w:ascii="Arial" w:hAnsi="Arial"/>
      <w:color w:val="0000FF"/>
      <w:sz w:val="24"/>
      <w:u w:val="none"/>
    </w:rPr>
  </w:style>
  <w:style w:styleId="Style_14_ch" w:type="character">
    <w:name w:val="HTML Variable"/>
    <w:link w:val="Style_14"/>
    <w:rPr>
      <w:rFonts w:ascii="Arial" w:hAnsi="Arial"/>
      <w:color w:val="0000FF"/>
      <w:sz w:val="24"/>
      <w:u w:val="none"/>
    </w:rPr>
  </w:style>
  <w:style w:styleId="Style_15" w:type="paragraph">
    <w:name w:val="ConsPlusNonformat"/>
    <w:link w:val="Style_15_ch"/>
    <w:pPr>
      <w:widowControl w:val="0"/>
      <w:ind/>
    </w:pPr>
    <w:rPr>
      <w:rFonts w:ascii="Courier New" w:hAnsi="Courier New"/>
    </w:rPr>
  </w:style>
  <w:style w:styleId="Style_15_ch" w:type="character">
    <w:name w:val="ConsPlusNonformat"/>
    <w:link w:val="Style_15"/>
    <w:rPr>
      <w:rFonts w:ascii="Courier New" w:hAnsi="Courier New"/>
    </w:rPr>
  </w:style>
  <w:style w:styleId="Style_16" w:type="paragraph">
    <w:name w:val="Body Text"/>
    <w:basedOn w:val="Style_6"/>
    <w:link w:val="Style_16_ch"/>
  </w:style>
  <w:style w:styleId="Style_16_ch" w:type="character">
    <w:name w:val="Body Text"/>
    <w:basedOn w:val="Style_6_ch"/>
    <w:link w:val="Style_16"/>
  </w:style>
  <w:style w:styleId="Style_17" w:type="paragraph">
    <w:name w:val="Title!Название НПА"/>
    <w:basedOn w:val="Style_6"/>
    <w:link w:val="Style_17_ch"/>
    <w:pPr>
      <w:widowControl w:val="0"/>
      <w:spacing w:after="60" w:before="240"/>
      <w:ind/>
      <w:jc w:val="center"/>
      <w:outlineLvl w:val="0"/>
    </w:pPr>
    <w:rPr>
      <w:b w:val="1"/>
      <w:sz w:val="32"/>
    </w:rPr>
  </w:style>
  <w:style w:styleId="Style_17_ch" w:type="character">
    <w:name w:val="Title!Название НПА"/>
    <w:basedOn w:val="Style_6_ch"/>
    <w:link w:val="Style_17"/>
    <w:rPr>
      <w:b w:val="1"/>
      <w:sz w:val="32"/>
    </w:rPr>
  </w:style>
  <w:style w:styleId="Style_18" w:type="paragraph">
    <w:name w:val="toc 3"/>
    <w:next w:val="Style_6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annotation text"/>
    <w:basedOn w:val="Style_6"/>
    <w:link w:val="Style_19_ch"/>
    <w:rPr>
      <w:rFonts w:ascii="Courier" w:hAnsi="Courier"/>
      <w:sz w:val="22"/>
    </w:rPr>
  </w:style>
  <w:style w:styleId="Style_19_ch" w:type="character">
    <w:name w:val="annotation text"/>
    <w:basedOn w:val="Style_6_ch"/>
    <w:link w:val="Style_19"/>
    <w:rPr>
      <w:rFonts w:ascii="Courier" w:hAnsi="Courier"/>
      <w:sz w:val="22"/>
    </w:rPr>
  </w:style>
  <w:style w:styleId="Style_20" w:type="paragraph">
    <w:name w:val="ConsPlusNormal"/>
    <w:link w:val="Style_20_ch"/>
    <w:pPr>
      <w:widowControl w:val="0"/>
      <w:ind w:firstLine="720" w:left="0"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heading 5"/>
    <w:next w:val="Style_6"/>
    <w:link w:val="Style_2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6"/>
    <w:next w:val="Style_6"/>
    <w:link w:val="Style_22_ch"/>
    <w:uiPriority w:val="9"/>
    <w:qFormat/>
    <w:pPr>
      <w:widowControl w:val="0"/>
      <w:ind/>
      <w:jc w:val="center"/>
      <w:outlineLvl w:val="0"/>
    </w:pPr>
    <w:rPr>
      <w:b w:val="1"/>
      <w:sz w:val="32"/>
    </w:rPr>
  </w:style>
  <w:style w:styleId="Style_22_ch" w:type="character">
    <w:name w:val="heading 1"/>
    <w:basedOn w:val="Style_6_ch"/>
    <w:link w:val="Style_22"/>
    <w:rPr>
      <w:b w:val="1"/>
      <w:sz w:val="32"/>
    </w:rPr>
  </w:style>
  <w:style w:styleId="Style_23" w:type="paragraph">
    <w:name w:val="Hyperlink"/>
    <w:link w:val="Style_23_ch"/>
    <w:rPr>
      <w:color w:val="0000FF"/>
      <w:u w:val="none"/>
    </w:rPr>
  </w:style>
  <w:style w:styleId="Style_23_ch" w:type="character">
    <w:name w:val="Hyperlink"/>
    <w:link w:val="Style_23"/>
    <w:rPr>
      <w:color w:val="0000FF"/>
      <w:u w:val="none"/>
    </w:rPr>
  </w:style>
  <w:style w:styleId="Style_24" w:type="paragraph">
    <w:name w:val="Footnote"/>
    <w:link w:val="Style_2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1"/>
    <w:next w:val="Style_6"/>
    <w:link w:val="Style_2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5" w:type="paragraph">
    <w:name w:val="ConsPlusCell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Cell"/>
    <w:link w:val="Style_5"/>
    <w:rPr>
      <w:rFonts w:ascii="Arial" w:hAnsi="Arial"/>
    </w:rPr>
  </w:style>
  <w:style w:styleId="Style_28" w:type="paragraph">
    <w:name w:val="toc 9"/>
    <w:next w:val="Style_6"/>
    <w:link w:val="Style_2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4" w:type="paragraph">
    <w:name w:val="Table!Таблица"/>
    <w:link w:val="Style_4_ch"/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30" w:type="paragraph">
    <w:name w:val="toc 5"/>
    <w:next w:val="Style_6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1" w:type="paragraph">
    <w:name w:val="List Paragraph"/>
    <w:basedOn w:val="Style_6"/>
    <w:link w:val="Style_1_ch"/>
    <w:pPr>
      <w:widowControl w:val="0"/>
      <w:ind w:firstLine="0" w:left="720"/>
      <w:contextualSpacing w:val="1"/>
    </w:pPr>
  </w:style>
  <w:style w:styleId="Style_1_ch" w:type="character">
    <w:name w:val="List Paragraph"/>
    <w:basedOn w:val="Style_6_ch"/>
    <w:link w:val="Style_1"/>
  </w:style>
  <w:style w:styleId="Style_31" w:type="paragraph">
    <w:name w:val="Balloon Text"/>
    <w:basedOn w:val="Style_6"/>
    <w:link w:val="Style_31_ch"/>
    <w:rPr>
      <w:sz w:val="16"/>
    </w:rPr>
  </w:style>
  <w:style w:styleId="Style_31_ch" w:type="character">
    <w:name w:val="Balloon Text"/>
    <w:basedOn w:val="Style_6_ch"/>
    <w:link w:val="Style_31"/>
    <w:rPr>
      <w:sz w:val="16"/>
    </w:rPr>
  </w:style>
  <w:style w:styleId="Style_32" w:type="paragraph">
    <w:name w:val="Subtitle"/>
    <w:next w:val="Style_6"/>
    <w:link w:val="Style_3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basedOn w:val="Style_6"/>
    <w:link w:val="Style_33_ch"/>
    <w:uiPriority w:val="10"/>
    <w:qFormat/>
    <w:pPr>
      <w:widowControl w:val="0"/>
      <w:ind/>
      <w:jc w:val="center"/>
    </w:pPr>
    <w:rPr>
      <w:rFonts w:ascii="Cambria" w:hAnsi="Cambria"/>
      <w:b w:val="1"/>
      <w:sz w:val="32"/>
    </w:rPr>
  </w:style>
  <w:style w:styleId="Style_33_ch" w:type="character">
    <w:name w:val="Title"/>
    <w:basedOn w:val="Style_6_ch"/>
    <w:link w:val="Style_33"/>
    <w:rPr>
      <w:rFonts w:ascii="Cambria" w:hAnsi="Cambria"/>
      <w:b w:val="1"/>
      <w:sz w:val="32"/>
    </w:rPr>
  </w:style>
  <w:style w:styleId="Style_34" w:type="paragraph">
    <w:name w:val="heading 4"/>
    <w:basedOn w:val="Style_6"/>
    <w:link w:val="Style_34_ch"/>
    <w:uiPriority w:val="9"/>
    <w:qFormat/>
    <w:pPr>
      <w:widowControl w:val="0"/>
      <w:ind/>
      <w:outlineLvl w:val="3"/>
    </w:pPr>
    <w:rPr>
      <w:b w:val="1"/>
      <w:sz w:val="28"/>
    </w:rPr>
  </w:style>
  <w:style w:styleId="Style_34_ch" w:type="character">
    <w:name w:val="heading 4"/>
    <w:basedOn w:val="Style_6_ch"/>
    <w:link w:val="Style_34"/>
    <w:rPr>
      <w:b w:val="1"/>
      <w:sz w:val="28"/>
    </w:rPr>
  </w:style>
  <w:style w:styleId="Style_35" w:type="paragraph">
    <w:name w:val="heading 2"/>
    <w:basedOn w:val="Style_6"/>
    <w:link w:val="Style_35_ch"/>
    <w:uiPriority w:val="9"/>
    <w:qFormat/>
    <w:pPr>
      <w:widowControl w:val="0"/>
      <w:ind/>
      <w:jc w:val="center"/>
      <w:outlineLvl w:val="1"/>
    </w:pPr>
    <w:rPr>
      <w:b w:val="1"/>
      <w:sz w:val="28"/>
    </w:rPr>
  </w:style>
  <w:style w:styleId="Style_35_ch" w:type="character">
    <w:name w:val="heading 2"/>
    <w:basedOn w:val="Style_6_ch"/>
    <w:link w:val="Style_35"/>
    <w:rPr>
      <w:b w:val="1"/>
      <w:sz w:val="28"/>
    </w:rPr>
  </w:style>
  <w:style w:styleId="Style_36" w:type="table">
    <w:name w:val="Table List 3"/>
    <w:basedOn w:val="Style_2"/>
    <w:rPr>
      <w:rFonts w:ascii="Arial" w:hAnsi="Arial"/>
    </w:rPr>
    <w:tblPr>
      <w:tblBorders>
        <w:top w:color="000000" w:sz="12" w:val="single"/>
        <w:left w:color="000000" w:sz="4" w:val="nil"/>
        <w:bottom w:color="000000" w:sz="12" w:val="single"/>
        <w:right w:color="000000" w:sz="4" w:val="nil"/>
        <w:insideH w:color="000000" w:sz="6" w:val="single"/>
        <w:insideV w:color="000000" w:sz="4" w:val="nil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2025-12-30T09:09:10Z</dcterms:created>
  <dcterms:modified xsi:type="dcterms:W3CDTF">2025-12-30T09:15:40Z</dcterms:modified>
</cp:coreProperties>
</file>