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tabs>
          <w:tab w:leader="none" w:pos="709" w:val="left"/>
        </w:tabs>
        <w:ind w:firstLine="142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</w:t>
      </w:r>
    </w:p>
    <w:p w14:paraId="05000000">
      <w:pPr>
        <w:widowControl w:val="0"/>
        <w:tabs>
          <w:tab w:leader="none" w:pos="709" w:val="left"/>
        </w:tabs>
        <w:ind w:firstLine="142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постановлению администрации </w:t>
      </w:r>
    </w:p>
    <w:p w14:paraId="06000000">
      <w:pPr>
        <w:widowControl w:val="0"/>
        <w:ind w:firstLine="142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Крапивинского муниципального округа</w:t>
      </w:r>
      <w:r>
        <w:rPr>
          <w:rFonts w:ascii="XO Thames" w:hAnsi="XO Thames"/>
          <w:sz w:val="28"/>
        </w:rPr>
        <w:t xml:space="preserve"> </w:t>
      </w:r>
    </w:p>
    <w:p w14:paraId="07000000">
      <w:pPr>
        <w:widowControl w:val="0"/>
        <w:ind w:firstLine="142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«30» декабря </w:t>
      </w:r>
      <w:r>
        <w:rPr>
          <w:rFonts w:ascii="XO Thames" w:hAnsi="XO Thames"/>
          <w:sz w:val="28"/>
        </w:rPr>
        <w:t>2025 № 1460</w:t>
      </w:r>
    </w:p>
    <w:p w14:paraId="08000000">
      <w:pPr>
        <w:widowControl w:val="0"/>
        <w:ind w:firstLine="142" w:left="0"/>
        <w:jc w:val="center"/>
        <w:rPr>
          <w:rFonts w:ascii="XO Thames" w:hAnsi="XO Thames"/>
          <w:sz w:val="28"/>
        </w:rPr>
      </w:pPr>
    </w:p>
    <w:p w14:paraId="09000000">
      <w:pPr>
        <w:widowControl w:val="0"/>
        <w:ind w:firstLine="142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Ресурсное обеспечение реализации муниципальной программы</w:t>
      </w:r>
    </w:p>
    <w:p w14:paraId="0A000000">
      <w:pPr>
        <w:widowControl w:val="0"/>
        <w:ind w:firstLine="142" w:left="0"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561"/>
        <w:gridCol w:w="2475"/>
        <w:gridCol w:w="992"/>
        <w:gridCol w:w="993"/>
        <w:gridCol w:w="992"/>
        <w:gridCol w:w="992"/>
        <w:gridCol w:w="204"/>
        <w:gridCol w:w="962"/>
      </w:tblGrid>
      <w:tr>
        <w:trPr>
          <w:trHeight w:hRule="atLeast" w:val="530"/>
          <w:tblHeader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Наименование</w:t>
            </w:r>
          </w:p>
          <w:p w14:paraId="0C000000">
            <w:pPr>
              <w:pStyle w:val="Style_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муниципальной программы, мероприятия</w:t>
            </w:r>
          </w:p>
        </w:tc>
        <w:tc>
          <w:tcPr>
            <w:tcW w:type="dxa" w:w="24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4"/>
              <w:widowControl w:val="0"/>
              <w:ind w:firstLine="0" w:left="-75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Источник финансирования</w:t>
            </w:r>
          </w:p>
        </w:tc>
        <w:tc>
          <w:tcPr>
            <w:tcW w:type="dxa" w:w="5135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left w:type="dxa" w:w="75"/>
              <w:right w:type="dxa" w:w="75"/>
            </w:tcMar>
          </w:tcPr>
          <w:p w14:paraId="0E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Объем финансовых ресурсов, </w:t>
            </w:r>
          </w:p>
          <w:p w14:paraId="0F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тыс. рублей</w:t>
            </w:r>
          </w:p>
        </w:tc>
      </w:tr>
      <w:tr>
        <w:trPr>
          <w:trHeight w:hRule="atLeast" w:val="552"/>
          <w:tblHeader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2023</w:t>
            </w:r>
          </w:p>
          <w:p w14:paraId="1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2024 год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300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2025 год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400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2026</w:t>
            </w:r>
          </w:p>
          <w:p w14:paraId="1500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600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2027 год</w:t>
            </w:r>
          </w:p>
        </w:tc>
      </w:tr>
      <w:tr>
        <w:trPr>
          <w:trHeight w:hRule="atLeast" w:val="70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4"/>
              <w:widowControl w:val="0"/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Муниципальная программа «Улучшение условий и охраны труда в Крапивинском муниципальном округе» на 2023 </w:t>
            </w:r>
            <w:r>
              <w:rPr>
                <w:rFonts w:ascii="XO Thames" w:hAnsi="XO Thames"/>
                <w:sz w:val="28"/>
              </w:rPr>
              <w:t>– 2027 годы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1659,5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2029,8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1233,8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2179,0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1472,7</w:t>
            </w:r>
          </w:p>
        </w:tc>
      </w:tr>
      <w:tr>
        <w:trPr>
          <w:trHeight w:hRule="atLeast" w:val="225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1F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1402,8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1794,0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1057,3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2031,0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1324,7</w:t>
            </w:r>
          </w:p>
        </w:tc>
      </w:tr>
      <w:tr>
        <w:trPr>
          <w:trHeight w:hRule="atLeast" w:val="64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4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5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A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256,7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235,8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176,5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148,0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148,0</w:t>
            </w:r>
          </w:p>
        </w:tc>
      </w:tr>
      <w:tr>
        <w:trPr>
          <w:trHeight w:hRule="atLeast" w:val="410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0000000">
            <w:pPr>
              <w:widowControl w:val="0"/>
              <w:ind w:firstLine="0" w:left="6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Подпрограмма «</w:t>
            </w:r>
            <w:r>
              <w:rPr>
                <w:rFonts w:ascii="XO Thames" w:hAnsi="XO Thames"/>
                <w:sz w:val="28"/>
              </w:rPr>
              <w:t xml:space="preserve">Реализация мер, направленных </w:t>
            </w:r>
            <w:r>
              <w:rPr>
                <w:rFonts w:ascii="XO Thames" w:hAnsi="XO Thames"/>
                <w:sz w:val="28"/>
              </w:rPr>
              <w:t>на улучшение условий труда работников»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1659,5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2029,8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1233,8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2179,0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1472,7</w:t>
            </w:r>
          </w:p>
        </w:tc>
      </w:tr>
      <w:tr>
        <w:trPr>
          <w:trHeight w:hRule="atLeast" w:val="375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1402,8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1794,0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1057,3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2031,0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1324,7</w:t>
            </w:r>
          </w:p>
        </w:tc>
      </w:tr>
      <w:tr>
        <w:trPr>
          <w:trHeight w:hRule="atLeast" w:val="39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иные не запрещенные </w:t>
            </w:r>
          </w:p>
          <w:p w14:paraId="3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законодательством источники: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3F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405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256,7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235,8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176,5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148,0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148,0</w:t>
            </w:r>
          </w:p>
        </w:tc>
      </w:tr>
      <w:tr>
        <w:trPr>
          <w:trHeight w:hRule="atLeast" w:val="439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A000000">
            <w:pPr>
              <w:widowControl w:val="0"/>
              <w:ind w:firstLine="0" w:left="6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Основное </w:t>
            </w:r>
            <w:r>
              <w:rPr>
                <w:rFonts w:ascii="XO Thames" w:hAnsi="XO Thames"/>
                <w:sz w:val="28"/>
              </w:rPr>
              <w:t>м</w:t>
            </w:r>
            <w:r>
              <w:rPr>
                <w:rFonts w:ascii="XO Thames" w:hAnsi="XO Thames"/>
                <w:sz w:val="28"/>
              </w:rPr>
              <w:t>ероприятие: 1.Проведение</w:t>
            </w:r>
            <w:r>
              <w:rPr>
                <w:rFonts w:ascii="XO Thames" w:hAnsi="XO Thames"/>
                <w:sz w:val="28"/>
              </w:rPr>
              <w:t xml:space="preserve"> специальной оценки условий труда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B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C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146,7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133,8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222,2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4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651,0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583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2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146,7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133,8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222,2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651,0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7000000">
            <w:pPr>
              <w:widowControl w:val="0"/>
              <w:ind w:firstLine="0" w:left="6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Проведение специальной оценки условий труда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8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9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146,7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133,8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222,2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651,0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373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5F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146,7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133,8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222,2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651,0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411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4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Основное мероприятие</w:t>
            </w:r>
          </w:p>
          <w:p w14:paraId="65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2. </w:t>
            </w:r>
            <w:r>
              <w:rPr>
                <w:rFonts w:ascii="XO Thames" w:hAnsi="XO Thames"/>
                <w:sz w:val="28"/>
              </w:rPr>
              <w:t>Организация обучения</w:t>
            </w:r>
            <w:r>
              <w:rPr>
                <w:rFonts w:ascii="XO Thames" w:hAnsi="XO Thames"/>
                <w:sz w:val="28"/>
              </w:rPr>
              <w:t xml:space="preserve"> и проверка знаний требований охраны труда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8000000">
            <w:pPr>
              <w:pStyle w:val="Style_4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25,6</w:t>
            </w:r>
          </w:p>
        </w:tc>
      </w:tr>
      <w:tr>
        <w:trPr>
          <w:trHeight w:hRule="atLeast" w:val="871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C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</w:t>
            </w:r>
            <w:r>
              <w:rPr>
                <w:rFonts w:ascii="XO Thames" w:hAnsi="XO Thames"/>
                <w:sz w:val="28"/>
              </w:rPr>
              <w:t>,6</w:t>
            </w:r>
          </w:p>
        </w:tc>
      </w:tr>
      <w:tr>
        <w:trPr>
          <w:trHeight w:hRule="atLeast" w:val="540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Организация обучения и проверка знаний требований охраны труда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4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25,6</w:t>
            </w:r>
          </w:p>
        </w:tc>
      </w:tr>
      <w:tr>
        <w:trPr>
          <w:trHeight w:hRule="atLeast" w:val="537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9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A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25,6</w:t>
            </w:r>
          </w:p>
        </w:tc>
      </w:tr>
      <w:tr>
        <w:trPr>
          <w:trHeight w:hRule="atLeast" w:val="327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7F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Основное мероприятие</w:t>
            </w:r>
          </w:p>
          <w:p w14:paraId="80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 Проведение обязательных, предварительных и периодических медицинских осмотров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2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1128,2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1436,2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878,8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944,6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889,3</w:t>
            </w:r>
          </w:p>
        </w:tc>
      </w:tr>
      <w:tr>
        <w:trPr>
          <w:trHeight w:hRule="atLeast" w:val="327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7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8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982,6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1294,9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826,3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924,6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869,</w:t>
            </w:r>
            <w:r>
              <w:rPr>
                <w:rFonts w:ascii="XO Thames" w:hAnsi="XO Thames"/>
                <w:sz w:val="28"/>
              </w:rPr>
              <w:t>3</w:t>
            </w:r>
          </w:p>
        </w:tc>
      </w:tr>
      <w:tr>
        <w:trPr>
          <w:trHeight w:hRule="atLeast" w:val="495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D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иные не запрещенные </w:t>
            </w:r>
          </w:p>
          <w:p w14:paraId="8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законодательством источники: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8F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446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4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5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145,6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141,3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52,5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</w:tc>
      </w:tr>
      <w:tr>
        <w:trPr>
          <w:trHeight w:hRule="atLeast" w:val="540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A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Проведение </w:t>
            </w:r>
          </w:p>
          <w:p w14:paraId="9B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обязательных, предварительных и периодических </w:t>
            </w:r>
          </w:p>
          <w:p w14:paraId="9C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медицинских осмотров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D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E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1128,2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9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1436,2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878,8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944,6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889,3</w:t>
            </w:r>
          </w:p>
        </w:tc>
      </w:tr>
      <w:tr>
        <w:trPr>
          <w:trHeight w:hRule="atLeast" w:val="54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3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4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982,6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1294,9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826,3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924,6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869,3</w:t>
            </w:r>
          </w:p>
        </w:tc>
      </w:tr>
      <w:tr>
        <w:trPr>
          <w:trHeight w:hRule="atLeast" w:val="54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9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иные не запрещенные </w:t>
            </w:r>
          </w:p>
          <w:p w14:paraId="AA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законодательством источники: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B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A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4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0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1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145,6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141,3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52,5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</w:tc>
      </w:tr>
      <w:tr>
        <w:trPr>
          <w:trHeight w:hRule="atLeast" w:val="306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6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Основное мероприятие:</w:t>
            </w:r>
          </w:p>
          <w:p w14:paraId="B7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4. Проведение </w:t>
            </w:r>
            <w:r>
              <w:rPr>
                <w:rFonts w:ascii="XO Thames" w:hAnsi="XO Thames"/>
                <w:sz w:val="28"/>
              </w:rPr>
              <w:t>ежегодной диспансеризации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8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Всего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9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384,6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459,8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132,8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557,8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557,8</w:t>
            </w:r>
          </w:p>
        </w:tc>
      </w:tr>
      <w:tr>
        <w:trPr>
          <w:trHeight w:hRule="atLeast" w:val="33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BF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273,5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365,3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429,8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429,8</w:t>
            </w:r>
          </w:p>
        </w:tc>
      </w:tr>
      <w:tr>
        <w:trPr>
          <w:trHeight w:hRule="atLeast" w:val="30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4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иные не запрещенные </w:t>
            </w:r>
          </w:p>
          <w:p w14:paraId="C5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законодательством источники: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6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B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C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111,1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124,0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C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128,0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128,0</w:t>
            </w:r>
          </w:p>
        </w:tc>
      </w:tr>
      <w:tr>
        <w:trPr>
          <w:trHeight w:hRule="atLeast" w:val="540"/>
        </w:trPr>
        <w:tc>
          <w:tcPr>
            <w:tcW w:type="dxa" w:w="25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1000000">
            <w:pPr>
              <w:pStyle w:val="Style_5"/>
              <w:widowControl w:val="0"/>
              <w:tabs>
                <w:tab w:leader="none" w:pos="12474" w:val="left"/>
              </w:tabs>
              <w:ind w:firstLine="0" w:left="6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Проведение ежегодной диспансеризации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2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Всего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3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384,6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459,8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132,8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557,8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557,8</w:t>
            </w:r>
          </w:p>
        </w:tc>
      </w:tr>
      <w:tr>
        <w:trPr>
          <w:trHeight w:hRule="atLeast" w:val="54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8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9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273,5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365,3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8,8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429,8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429,8</w:t>
            </w:r>
          </w:p>
        </w:tc>
      </w:tr>
      <w:tr>
        <w:trPr>
          <w:trHeight w:hRule="atLeast" w:val="1182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D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иные не запрещенные </w:t>
            </w:r>
          </w:p>
          <w:p w14:paraId="DF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законодательством источники: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0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40"/>
        </w:trPr>
        <w:tc>
          <w:tcPr>
            <w:tcW w:type="dxa" w:w="25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5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6000000">
            <w:pPr>
              <w:pStyle w:val="Style_4"/>
              <w:widowControl w:val="0"/>
              <w:ind w:firstLine="0" w:left="-112" w:right="-3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111,1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124,0</w:t>
            </w:r>
          </w:p>
        </w:tc>
        <w:tc>
          <w:tcPr>
            <w:tcW w:type="dxa" w:w="11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128</w:t>
            </w:r>
            <w:r>
              <w:rPr>
                <w:rFonts w:ascii="XO Thames" w:hAnsi="XO Thames"/>
                <w:sz w:val="28"/>
              </w:rPr>
              <w:t>,</w:t>
            </w: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left w:type="dxa" w:w="75"/>
              <w:right w:type="dxa" w:w="75"/>
            </w:tcMar>
          </w:tcPr>
          <w:p w14:paraId="E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128,0</w:t>
            </w:r>
          </w:p>
        </w:tc>
      </w:tr>
    </w:tbl>
    <w:p w14:paraId="EB000000">
      <w:pPr>
        <w:rPr>
          <w:rFonts w:ascii="XO Thames" w:hAnsi="XO Thames"/>
          <w:sz w:val="28"/>
        </w:rPr>
      </w:pPr>
    </w:p>
    <w:p w14:paraId="EC000000">
      <w:pPr>
        <w:rPr>
          <w:rFonts w:ascii="XO Thames" w:hAnsi="XO Thames"/>
          <w:sz w:val="28"/>
        </w:rPr>
      </w:pPr>
    </w:p>
    <w:p w14:paraId="ED000000">
      <w:pPr>
        <w:rPr>
          <w:rFonts w:ascii="XO Thames" w:hAnsi="XO Thames"/>
          <w:sz w:val="28"/>
        </w:rPr>
      </w:pPr>
    </w:p>
    <w:p w14:paraId="EE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</w:t>
      </w:r>
    </w:p>
    <w:p w14:paraId="EF000000">
      <w:pPr>
        <w:widowControl w:val="0"/>
        <w:ind/>
        <w:jc w:val="center"/>
        <w:rPr>
          <w:rFonts w:ascii="XO Thames" w:hAnsi="XO Thames"/>
          <w:b w:val="1"/>
          <w:sz w:val="28"/>
        </w:rPr>
      </w:pPr>
    </w:p>
    <w:p w14:paraId="F0000000">
      <w:pPr>
        <w:widowControl w:val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5.  Сведения о планируемых значениях </w:t>
      </w:r>
      <w:r>
        <w:rPr>
          <w:rFonts w:ascii="XO Thames" w:hAnsi="XO Thames"/>
          <w:b w:val="1"/>
          <w:sz w:val="28"/>
        </w:rPr>
        <w:t>целевых показателей (индикаторов) муниципальной программы (по годам реализации муниципальной программы)</w:t>
      </w:r>
    </w:p>
    <w:p w14:paraId="F1000000">
      <w:pPr>
        <w:widowControl w:val="0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336"/>
        <w:gridCol w:w="2280"/>
        <w:gridCol w:w="675"/>
        <w:gridCol w:w="1109"/>
        <w:gridCol w:w="1008"/>
        <w:gridCol w:w="1005"/>
        <w:gridCol w:w="978"/>
        <w:gridCol w:w="978"/>
      </w:tblGrid>
      <w:tr>
        <w:trPr>
          <w:trHeight w:hRule="atLeast" w:val="842"/>
        </w:trPr>
        <w:tc>
          <w:tcPr>
            <w:tcW w:type="dxa" w:w="23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pStyle w:val="Style_3"/>
              <w:rPr>
                <w:rFonts w:ascii="XO Thames" w:hAnsi="XO Thames"/>
              </w:rPr>
            </w:pPr>
            <w:r>
              <w:rPr>
                <w:rFonts w:ascii="XO Thames" w:hAnsi="XO Thames"/>
                <w:b w:val="0"/>
                <w:sz w:val="28"/>
              </w:rPr>
              <w:t>Наименование муниципальной программы, мероприятия</w:t>
            </w:r>
          </w:p>
        </w:tc>
        <w:tc>
          <w:tcPr>
            <w:tcW w:type="dxa" w:w="22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Наименование целевого показателя (индикатора)</w:t>
            </w:r>
          </w:p>
        </w:tc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3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Еди-ница</w:t>
            </w:r>
            <w:r>
              <w:rPr>
                <w:rFonts w:ascii="XO Thames" w:hAnsi="XO Thames"/>
                <w:b w:val="0"/>
              </w:rPr>
              <w:t xml:space="preserve"> </w:t>
            </w:r>
            <w:r>
              <w:rPr>
                <w:rFonts w:ascii="XO Thames" w:hAnsi="XO Thames"/>
                <w:b w:val="0"/>
              </w:rPr>
              <w:t>измере-ния</w:t>
            </w:r>
          </w:p>
        </w:tc>
        <w:tc>
          <w:tcPr>
            <w:tcW w:type="dxa" w:w="507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Плановое значение целевого </w:t>
            </w:r>
            <w:r>
              <w:rPr>
                <w:rFonts w:ascii="XO Thames" w:hAnsi="XO Thames"/>
                <w:sz w:val="28"/>
              </w:rPr>
              <w:t>показателя (индикатора)</w:t>
            </w:r>
          </w:p>
        </w:tc>
      </w:tr>
      <w:tr>
        <w:trPr>
          <w:trHeight w:hRule="atLeast" w:val="661"/>
        </w:trPr>
        <w:tc>
          <w:tcPr>
            <w:tcW w:type="dxa" w:w="23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2023 </w:t>
            </w:r>
          </w:p>
          <w:p w14:paraId="F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widowControl w:val="0"/>
              <w:ind w:firstLine="68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2024 </w:t>
            </w:r>
          </w:p>
          <w:p w14:paraId="F9000000">
            <w:pPr>
              <w:widowControl w:val="0"/>
              <w:ind w:firstLine="68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2025</w:t>
            </w:r>
          </w:p>
          <w:p w14:paraId="F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год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2026 год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D00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2027 год</w:t>
            </w:r>
          </w:p>
        </w:tc>
      </w:tr>
      <w:tr>
        <w:trPr>
          <w:trHeight w:hRule="atLeast" w:val="898"/>
        </w:trPr>
        <w:tc>
          <w:tcPr>
            <w:tcW w:type="dxa" w:w="939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Муниципальная программа «Улучшение условий и охраны труда в Крапивинском муниципальном округе» на 2023-2027 годы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pStyle w:val="Style_4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1504"/>
        </w:trPr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4"/>
              <w:widowControl w:val="0"/>
              <w:numPr>
                <w:ilvl w:val="0"/>
                <w:numId w:val="1"/>
              </w:numPr>
              <w:ind w:hanging="284" w:left="351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Мероприятие:</w:t>
            </w:r>
          </w:p>
          <w:p w14:paraId="01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Проведение специальной оценки условий труда 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Ед.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182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360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170</w:t>
            </w:r>
          </w:p>
        </w:tc>
      </w:tr>
      <w:tr>
        <w:trPr>
          <w:trHeight w:hRule="atLeast" w:val="1539"/>
        </w:trPr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4"/>
              <w:widowControl w:val="0"/>
              <w:numPr>
                <w:ilvl w:val="0"/>
                <w:numId w:val="1"/>
              </w:numPr>
              <w:ind w:hanging="284" w:left="351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Мероприятие:</w:t>
            </w:r>
          </w:p>
          <w:p w14:paraId="0A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Организация обучения и проверки знаний требований охраны труда 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работников</w:t>
            </w:r>
            <w:r>
              <w:rPr>
                <w:rFonts w:ascii="XO Thames" w:hAnsi="XO Thames"/>
                <w:sz w:val="28"/>
              </w:rPr>
              <w:t xml:space="preserve">, прошедших обучение по охране труда 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Чел.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</w:tr>
      <w:tr>
        <w:trPr>
          <w:trHeight w:hRule="atLeast" w:val="1889"/>
        </w:trPr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4"/>
              <w:widowControl w:val="0"/>
              <w:tabs>
                <w:tab w:leader="none" w:pos="282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 Мероприятие:</w:t>
            </w:r>
          </w:p>
          <w:p w14:paraId="13010000">
            <w:pPr>
              <w:pStyle w:val="Style_4"/>
              <w:widowControl w:val="0"/>
              <w:tabs>
                <w:tab w:leader="none" w:pos="282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Проведение обязательных, предварительных и </w:t>
            </w:r>
            <w:r>
              <w:rPr>
                <w:rFonts w:ascii="XO Thames" w:hAnsi="XO Thames"/>
                <w:sz w:val="28"/>
              </w:rPr>
              <w:t>периодических медицинских</w:t>
            </w:r>
            <w:r>
              <w:rPr>
                <w:rFonts w:ascii="XO Thames" w:hAnsi="XO Thames"/>
                <w:sz w:val="28"/>
              </w:rPr>
              <w:t xml:space="preserve"> осмотров 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widowControl w:val="0"/>
              <w:ind w:firstLine="0" w:lef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Количество работников, прошедших медицинский осмотр 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Чел.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376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350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300</w:t>
            </w:r>
          </w:p>
        </w:tc>
      </w:tr>
      <w:tr>
        <w:trPr>
          <w:trHeight w:hRule="atLeast" w:val="460"/>
        </w:trPr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4"/>
              <w:widowControl w:val="0"/>
              <w:tabs>
                <w:tab w:leader="none" w:pos="282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4. Мероприятие: Проведение ежегодной диспансеризации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widowControl w:val="0"/>
              <w:ind w:firstLine="0" w:lef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Количество работников, прошедших диспансеризацию 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Чел.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148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150</w:t>
            </w:r>
          </w:p>
        </w:tc>
      </w:tr>
    </w:tbl>
    <w:p w14:paraId="23010000">
      <w:pPr>
        <w:widowControl w:val="0"/>
        <w:ind/>
        <w:jc w:val="center"/>
        <w:rPr>
          <w:rFonts w:ascii="XO Thames" w:hAnsi="XO Thames"/>
          <w:sz w:val="28"/>
        </w:rPr>
      </w:pPr>
      <w:bookmarkStart w:id="1" w:name="Par293"/>
      <w:bookmarkEnd w:id="1"/>
      <w:bookmarkStart w:id="2" w:name="Par411"/>
      <w:bookmarkEnd w:id="2"/>
    </w:p>
    <w:p w14:paraId="24010000">
      <w:pPr>
        <w:rPr>
          <w:rFonts w:ascii="XO Thames" w:hAnsi="XO Thames"/>
          <w:sz w:val="28"/>
        </w:rPr>
      </w:pPr>
    </w:p>
    <w:p w14:paraId="25010000">
      <w:pPr>
        <w:rPr>
          <w:rFonts w:ascii="XO Thames" w:hAnsi="XO Thames"/>
          <w:sz w:val="28"/>
        </w:rPr>
      </w:pPr>
    </w:p>
    <w:p w14:paraId="2601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</w:t>
      </w:r>
    </w:p>
    <w:p w14:paraId="27010000">
      <w:pPr>
        <w:rPr>
          <w:rFonts w:ascii="XO Thames" w:hAnsi="XO Thames"/>
          <w:sz w:val="28"/>
        </w:rPr>
      </w:pPr>
    </w:p>
    <w:p w14:paraId="28010000">
      <w:pPr>
        <w:widowControl w:val="0"/>
        <w:ind/>
        <w:jc w:val="center"/>
        <w:rPr>
          <w:rFonts w:ascii="XO Thames" w:hAnsi="XO Thames"/>
          <w:sz w:val="28"/>
        </w:rPr>
      </w:pPr>
    </w:p>
    <w:sectPr>
      <w:headerReference r:id="rId2" w:type="default"/>
      <w:headerReference r:id="rId1" w:type="first"/>
      <w:pgSz w:h="16838" w:orient="portrait" w:w="11905"/>
      <w:pgMar w:bottom="567" w:footer="720" w:gutter="0" w:header="720" w:left="1701" w:right="1132" w:top="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center"/>
    </w:pPr>
  </w:p>
  <w:p w14:paraId="03000000">
    <w:pPr>
      <w:pStyle w:val="Style_1"/>
      <w:widowControl w:val="0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"/>
    <w:basedOn w:val="Style_6"/>
    <w:link w:val="Style_9_ch"/>
  </w:style>
  <w:style w:styleId="Style_9_ch" w:type="character">
    <w:name w:val="Body Text"/>
    <w:basedOn w:val="Style_6_ch"/>
    <w:link w:val="Style_9"/>
  </w:style>
  <w:style w:styleId="Style_5" w:type="paragraph">
    <w:name w:val="ConsPlusCel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10" w:type="paragraph">
    <w:name w:val="Balloon Text"/>
    <w:basedOn w:val="Style_6"/>
    <w:link w:val="Style_10_ch"/>
    <w:rPr>
      <w:sz w:val="16"/>
    </w:rPr>
  </w:style>
  <w:style w:styleId="Style_10_ch" w:type="character">
    <w:name w:val="Balloon Text"/>
    <w:basedOn w:val="Style_6_ch"/>
    <w:link w:val="Style_10"/>
    <w:rPr>
      <w:sz w:val="16"/>
    </w:rPr>
  </w:style>
  <w:style w:styleId="Style_11" w:type="paragraph">
    <w:name w:val="toc 6"/>
    <w:next w:val="Style_6"/>
    <w:link w:val="Style_11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 Paragraph"/>
    <w:basedOn w:val="Style_6"/>
    <w:link w:val="Style_13_ch"/>
    <w:pPr>
      <w:widowControl w:val="0"/>
      <w:ind w:firstLine="0"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link w:val="Style_15_ch"/>
    <w:uiPriority w:val="9"/>
    <w:qFormat/>
    <w:pPr>
      <w:widowControl w:val="0"/>
      <w:ind/>
      <w:outlineLvl w:val="2"/>
    </w:pPr>
    <w:rPr>
      <w:b w:val="1"/>
      <w:sz w:val="28"/>
    </w:rPr>
  </w:style>
  <w:style w:styleId="Style_15_ch" w:type="character">
    <w:name w:val="heading 3"/>
    <w:basedOn w:val="Style_6_ch"/>
    <w:link w:val="Style_15"/>
    <w:rPr>
      <w:b w:val="1"/>
      <w:sz w:val="28"/>
    </w:rPr>
  </w:style>
  <w:style w:styleId="Style_3" w:type="paragraph">
    <w:name w:val="Table!"/>
    <w:next w:val="Style_4"/>
    <w:link w:val="Style_3_ch"/>
    <w:pPr>
      <w:widowControl w:val="0"/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16" w:type="paragraph">
    <w:name w:val="Гиперссылка1"/>
    <w:link w:val="Style_16_ch"/>
    <w:rPr>
      <w:color w:val="0000FF"/>
    </w:rPr>
  </w:style>
  <w:style w:styleId="Style_16_ch" w:type="character">
    <w:name w:val="Гиперссылка1"/>
    <w:link w:val="Style_16"/>
    <w:rPr>
      <w:color w:val="0000FF"/>
    </w:rPr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17" w:type="paragraph">
    <w:name w:val="Application!Приложение"/>
    <w:link w:val="Style_17_ch"/>
    <w:pPr>
      <w:widowControl w:val="0"/>
      <w:spacing w:after="120" w:before="120"/>
      <w:ind/>
      <w:jc w:val="right"/>
    </w:pPr>
    <w:rPr>
      <w:rFonts w:ascii="Arial" w:hAnsi="Arial"/>
      <w:b w:val="1"/>
      <w:sz w:val="32"/>
    </w:rPr>
  </w:style>
  <w:style w:styleId="Style_17_ch" w:type="character">
    <w:name w:val="Application!Приложение"/>
    <w:link w:val="Style_17"/>
    <w:rPr>
      <w:rFonts w:ascii="Arial" w:hAnsi="Arial"/>
      <w:b w:val="1"/>
      <w:sz w:val="32"/>
    </w:rPr>
  </w:style>
  <w:style w:styleId="Style_18" w:type="paragraph">
    <w:name w:val="toc 3"/>
    <w:next w:val="Style_6"/>
    <w:link w:val="Style_18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annotation text"/>
    <w:basedOn w:val="Style_6"/>
    <w:link w:val="Style_19_ch"/>
    <w:rPr>
      <w:rFonts w:ascii="Courier" w:hAnsi="Courier"/>
      <w:sz w:val="22"/>
    </w:rPr>
  </w:style>
  <w:style w:styleId="Style_19_ch" w:type="character">
    <w:name w:val="annotation text"/>
    <w:basedOn w:val="Style_6_ch"/>
    <w:link w:val="Style_19"/>
    <w:rPr>
      <w:rFonts w:ascii="Courier" w:hAnsi="Courier"/>
      <w:sz w:val="22"/>
    </w:rPr>
  </w:style>
  <w:style w:styleId="Style_20" w:type="paragraph">
    <w:name w:val="heading 5"/>
    <w:basedOn w:val="Style_6"/>
    <w:next w:val="Style_6"/>
    <w:link w:val="Style_20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0_ch" w:type="character">
    <w:name w:val="heading 5"/>
    <w:basedOn w:val="Style_6_ch"/>
    <w:link w:val="Style_20"/>
    <w:rPr>
      <w:rFonts w:ascii="Calibri" w:hAnsi="Calibri"/>
      <w:b w:val="1"/>
      <w:i w:val="1"/>
      <w:sz w:val="26"/>
    </w:rPr>
  </w:style>
  <w:style w:styleId="Style_21" w:type="paragraph">
    <w:name w:val="heading 1"/>
    <w:basedOn w:val="Style_6"/>
    <w:next w:val="Style_6"/>
    <w:link w:val="Style_21_ch"/>
    <w:uiPriority w:val="9"/>
    <w:qFormat/>
    <w:pPr>
      <w:widowControl w:val="0"/>
      <w:ind/>
      <w:jc w:val="center"/>
      <w:outlineLvl w:val="0"/>
    </w:pPr>
    <w:rPr>
      <w:b w:val="1"/>
      <w:sz w:val="32"/>
    </w:rPr>
  </w:style>
  <w:style w:styleId="Style_21_ch" w:type="character">
    <w:name w:val="heading 1"/>
    <w:basedOn w:val="Style_6_ch"/>
    <w:link w:val="Style_21"/>
    <w:rPr>
      <w:b w:val="1"/>
      <w:sz w:val="32"/>
    </w:rPr>
  </w:style>
  <w:style w:styleId="Style_22" w:type="paragraph">
    <w:name w:val="Переменный HTML1"/>
    <w:link w:val="Style_22_ch"/>
    <w:rPr>
      <w:rFonts w:ascii="Arial" w:hAnsi="Arial"/>
      <w:color w:val="0000FF"/>
      <w:sz w:val="24"/>
    </w:rPr>
  </w:style>
  <w:style w:styleId="Style_22_ch" w:type="character">
    <w:name w:val="Переменный HTML1"/>
    <w:link w:val="Style_22"/>
    <w:rPr>
      <w:rFonts w:ascii="Arial" w:hAnsi="Arial"/>
      <w:color w:val="0000FF"/>
      <w:sz w:val="24"/>
    </w:rPr>
  </w:style>
  <w:style w:styleId="Style_23" w:type="paragraph">
    <w:name w:val="Title!Название НПА"/>
    <w:basedOn w:val="Style_6"/>
    <w:link w:val="Style_23_ch"/>
    <w:pPr>
      <w:widowControl w:val="0"/>
      <w:spacing w:after="60" w:before="240"/>
      <w:ind/>
      <w:jc w:val="center"/>
      <w:outlineLvl w:val="0"/>
    </w:pPr>
    <w:rPr>
      <w:b w:val="1"/>
      <w:sz w:val="32"/>
    </w:rPr>
  </w:style>
  <w:style w:styleId="Style_23_ch" w:type="character">
    <w:name w:val="Title!Название НПА"/>
    <w:basedOn w:val="Style_6_ch"/>
    <w:link w:val="Style_23"/>
    <w:rPr>
      <w:b w:val="1"/>
      <w:sz w:val="32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6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0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6"/>
    <w:link w:val="Style_2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6"/>
    <w:link w:val="Style_30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ConsPlusNormal"/>
    <w:link w:val="Style_32_ch"/>
    <w:pPr>
      <w:widowControl w:val="0"/>
      <w:ind w:firstLine="720" w:left="0"/>
    </w:pPr>
    <w:rPr>
      <w:rFonts w:ascii="Arial" w:hAnsi="Arial"/>
    </w:rPr>
  </w:style>
  <w:style w:styleId="Style_32_ch" w:type="character">
    <w:name w:val="ConsPlusNormal"/>
    <w:link w:val="Style_32"/>
    <w:rPr>
      <w:rFonts w:ascii="Arial" w:hAnsi="Arial"/>
    </w:rPr>
  </w:style>
  <w:style w:styleId="Style_33" w:type="paragraph">
    <w:name w:val="toc 5"/>
    <w:next w:val="Style_6"/>
    <w:link w:val="Style_33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footer"/>
    <w:basedOn w:val="Style_6"/>
    <w:link w:val="Style_34_ch"/>
    <w:pPr>
      <w:widowControl w:val="0"/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6_ch"/>
    <w:link w:val="Style_34"/>
  </w:style>
  <w:style w:styleId="Style_35" w:type="paragraph">
    <w:name w:val="ConsPlusNonformat"/>
    <w:link w:val="Style_35_ch"/>
    <w:pPr>
      <w:widowControl w:val="0"/>
      <w:ind/>
    </w:pPr>
    <w:rPr>
      <w:rFonts w:ascii="Courier New" w:hAnsi="Courier New"/>
    </w:rPr>
  </w:style>
  <w:style w:styleId="Style_35_ch" w:type="character">
    <w:name w:val="ConsPlusNonformat"/>
    <w:link w:val="Style_35"/>
    <w:rPr>
      <w:rFonts w:ascii="Courier New" w:hAnsi="Courier New"/>
    </w:rPr>
  </w:style>
  <w:style w:styleId="Style_36" w:type="paragraph">
    <w:name w:val="Обычный1"/>
    <w:link w:val="Style_36_ch"/>
    <w:rPr>
      <w:rFonts w:ascii="Arial" w:hAnsi="Arial"/>
      <w:sz w:val="24"/>
    </w:rPr>
  </w:style>
  <w:style w:styleId="Style_36_ch" w:type="character">
    <w:name w:val="Обычный1"/>
    <w:link w:val="Style_36"/>
    <w:rPr>
      <w:rFonts w:ascii="Arial" w:hAnsi="Arial"/>
      <w:sz w:val="24"/>
    </w:rPr>
  </w:style>
  <w:style w:styleId="Style_37" w:type="paragraph">
    <w:name w:val="Subtitle"/>
    <w:next w:val="Style_6"/>
    <w:link w:val="Style_3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basedOn w:val="Style_6"/>
    <w:link w:val="Style_38_ch"/>
    <w:uiPriority w:val="10"/>
    <w:qFormat/>
    <w:pPr>
      <w:widowControl w:val="0"/>
      <w:ind/>
      <w:jc w:val="center"/>
    </w:pPr>
  </w:style>
  <w:style w:styleId="Style_38_ch" w:type="character">
    <w:name w:val="Title"/>
    <w:basedOn w:val="Style_6_ch"/>
    <w:link w:val="Style_38"/>
  </w:style>
  <w:style w:styleId="Style_39" w:type="paragraph">
    <w:name w:val="heading 4"/>
    <w:basedOn w:val="Style_6"/>
    <w:link w:val="Style_39_ch"/>
    <w:uiPriority w:val="9"/>
    <w:qFormat/>
    <w:pPr>
      <w:widowControl w:val="0"/>
      <w:ind/>
      <w:outlineLvl w:val="3"/>
    </w:pPr>
    <w:rPr>
      <w:b w:val="1"/>
      <w:sz w:val="26"/>
    </w:rPr>
  </w:style>
  <w:style w:styleId="Style_39_ch" w:type="character">
    <w:name w:val="heading 4"/>
    <w:basedOn w:val="Style_6_ch"/>
    <w:link w:val="Style_39"/>
    <w:rPr>
      <w:b w:val="1"/>
      <w:sz w:val="26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0" w:type="paragraph">
    <w:name w:val="heading 2"/>
    <w:basedOn w:val="Style_6"/>
    <w:link w:val="Style_40_ch"/>
    <w:uiPriority w:val="9"/>
    <w:qFormat/>
    <w:pPr>
      <w:widowControl w:val="0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6_ch"/>
    <w:link w:val="Style_40"/>
    <w:rPr>
      <w:b w:val="1"/>
      <w:sz w:val="30"/>
    </w:rPr>
  </w:style>
  <w:style w:styleId="Style_41" w:type="table">
    <w:name w:val="Table List 3"/>
    <w:basedOn w:val="Style_2"/>
    <w:rPr>
      <w:rFonts w:ascii="Arial" w:hAnsi="Arial"/>
    </w:rPr>
    <w:tblPr>
      <w:tblBorders>
        <w:top w:color="000000" w:sz="12" w:val="single"/>
        <w:left w:sz="4" w:val="nil"/>
        <w:bottom w:color="000000" w:sz="12" w:val="single"/>
        <w:right w:sz="4" w:val="nil"/>
        <w:insideH w:color="000000" w:sz="6" w:val="single"/>
        <w:insideV w:sz="4" w:val="nil"/>
      </w:tblBorders>
    </w:tblPr>
  </w:style>
  <w:style w:styleId="Style_42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2025-12-30T09:04:39Z</dcterms:created>
  <dcterms:modified xsi:type="dcterms:W3CDTF">2025-12-30T09:16:52Z</dcterms:modified>
</cp:coreProperties>
</file>