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widowControl w:val="0"/>
        <w:ind/>
        <w:jc w:val="right"/>
        <w:outlineLvl w:val="0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Утвержден</w:t>
      </w:r>
    </w:p>
    <w:p w14:paraId="06000000">
      <w:pPr>
        <w:widowControl w:val="0"/>
        <w:ind/>
        <w:jc w:val="right"/>
        <w:outlineLvl w:val="0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постановлением администрации</w:t>
      </w:r>
    </w:p>
    <w:p w14:paraId="07000000">
      <w:pPr>
        <w:widowControl w:val="0"/>
        <w:ind/>
        <w:jc w:val="right"/>
        <w:outlineLvl w:val="0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Крапивинского муниципального округа</w:t>
      </w:r>
    </w:p>
    <w:p w14:paraId="08000000">
      <w:pPr>
        <w:ind w:firstLine="0" w:left="10490"/>
        <w:jc w:val="right"/>
        <w:rPr>
          <w:rFonts w:ascii="XO Thames" w:hAnsi="XO Thames"/>
          <w:color w:val="000000"/>
        </w:rPr>
      </w:pPr>
      <w:r>
        <w:rPr>
          <w:rFonts w:ascii="XO Thames" w:hAnsi="XO Thames"/>
          <w:sz w:val="28"/>
        </w:rPr>
        <w:t>от «17» 07. 2026</w:t>
      </w:r>
      <w:r>
        <w:rPr>
          <w:rFonts w:ascii="XO Thames" w:hAnsi="XO Thames"/>
          <w:sz w:val="28"/>
        </w:rPr>
        <w:t xml:space="preserve"> № </w:t>
      </w:r>
      <w:r>
        <w:rPr>
          <w:rFonts w:ascii="XO Thames" w:hAnsi="XO Thames"/>
          <w:color w:val="000000"/>
        </w:rPr>
        <w:t>745</w:t>
      </w:r>
    </w:p>
    <w:p w14:paraId="09000000">
      <w:pPr>
        <w:ind w:firstLine="0" w:left="10490"/>
        <w:jc w:val="center"/>
        <w:rPr>
          <w:rFonts w:ascii="XO Thames" w:hAnsi="XO Thames"/>
          <w:b w:val="1"/>
        </w:rPr>
      </w:pPr>
    </w:p>
    <w:p w14:paraId="0A000000">
      <w:pPr>
        <w:ind w:firstLine="0" w:left="0"/>
        <w:jc w:val="center"/>
        <w:rPr>
          <w:rFonts w:ascii="XO Thames" w:hAnsi="XO Thames"/>
          <w:b w:val="1"/>
          <w:sz w:val="28"/>
        </w:rPr>
      </w:pPr>
      <w:r>
        <w:rPr>
          <w:rFonts w:ascii="XO Thames" w:hAnsi="XO Thames"/>
          <w:b w:val="1"/>
          <w:sz w:val="28"/>
        </w:rPr>
        <w:t>Прогноз социально-экономического развития Крапивинского муниципального округа</w:t>
      </w:r>
    </w:p>
    <w:p w14:paraId="0B000000">
      <w:pPr>
        <w:ind w:firstLine="0" w:left="0"/>
        <w:jc w:val="center"/>
        <w:rPr>
          <w:rFonts w:ascii="XO Thames" w:hAnsi="XO Thames"/>
          <w:b w:val="1"/>
          <w:sz w:val="28"/>
        </w:rPr>
      </w:pPr>
      <w:r>
        <w:rPr>
          <w:rFonts w:ascii="XO Thames" w:hAnsi="XO Thames"/>
          <w:b w:val="1"/>
          <w:sz w:val="28"/>
        </w:rPr>
        <w:t>на 2027</w:t>
      </w:r>
      <w:r>
        <w:rPr>
          <w:rFonts w:ascii="XO Thames" w:hAnsi="XO Thames"/>
          <w:b w:val="1"/>
          <w:sz w:val="28"/>
        </w:rPr>
        <w:t xml:space="preserve"> год и на плановый период до 2029</w:t>
      </w:r>
      <w:r>
        <w:rPr>
          <w:rFonts w:ascii="XO Thames" w:hAnsi="XO Thames"/>
          <w:b w:val="1"/>
          <w:sz w:val="28"/>
        </w:rPr>
        <w:t xml:space="preserve"> года </w:t>
      </w:r>
    </w:p>
    <w:p w14:paraId="0C000000">
      <w:pPr>
        <w:ind w:firstLine="0" w:left="0"/>
        <w:jc w:val="left"/>
        <w:rPr>
          <w:rFonts w:ascii="XO Thames" w:hAnsi="XO Thames"/>
          <w:sz w:val="26"/>
        </w:rPr>
      </w:pPr>
    </w:p>
    <w:tbl>
      <w:tblPr>
        <w:tblStyle w:val="Style_2"/>
        <w:tblW w:type="auto" w:w="0"/>
        <w:jc w:val="center"/>
        <w:tblInd w:type="dxa" w:w="0"/>
        <w:tblLayout w:type="fixed"/>
      </w:tblPr>
      <w:tblGrid>
        <w:gridCol w:w="850"/>
        <w:gridCol w:w="3180"/>
        <w:gridCol w:w="1620"/>
        <w:gridCol w:w="964"/>
        <w:gridCol w:w="964"/>
        <w:gridCol w:w="964"/>
        <w:gridCol w:w="1134"/>
        <w:gridCol w:w="1134"/>
        <w:gridCol w:w="1134"/>
        <w:gridCol w:w="1134"/>
        <w:gridCol w:w="1134"/>
        <w:gridCol w:w="1134"/>
      </w:tblGrid>
      <w:tr>
        <w:trPr>
          <w:trHeight w:hRule="atLeast" w:val="420"/>
        </w:trPr>
        <w:tc>
          <w:tcPr>
            <w:tcW w:type="dxa" w:w="85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№ п/п </w:t>
            </w:r>
          </w:p>
        </w:tc>
        <w:tc>
          <w:tcPr>
            <w:tcW w:type="dxa" w:w="3180"/>
            <w:vMerge w:val="restart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  <w:p w14:paraId="0F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Показатели</w:t>
            </w:r>
          </w:p>
          <w:p w14:paraId="10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  <w:p w14:paraId="11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1620"/>
            <w:vMerge w:val="restart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  <w:p w14:paraId="13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Единица измерения</w:t>
            </w:r>
          </w:p>
          <w:p w14:paraId="14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  <w:p w14:paraId="15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96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00000">
            <w:pPr>
              <w:ind w:firstLine="0" w:left="0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отчет *</w:t>
            </w:r>
          </w:p>
        </w:tc>
        <w:tc>
          <w:tcPr>
            <w:tcW w:type="dxa" w:w="96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00000">
            <w:pPr>
              <w:ind w:firstLine="0" w:left="0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отчет *</w:t>
            </w:r>
          </w:p>
        </w:tc>
        <w:tc>
          <w:tcPr>
            <w:tcW w:type="dxa" w:w="96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00000">
            <w:pPr>
              <w:ind w:firstLine="0" w:left="0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оценка показа-теля</w:t>
            </w:r>
          </w:p>
        </w:tc>
        <w:tc>
          <w:tcPr>
            <w:tcW w:type="dxa" w:w="6804"/>
            <w:gridSpan w:val="6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прогноз</w:t>
            </w:r>
          </w:p>
        </w:tc>
      </w:tr>
      <w:tr>
        <w:trPr>
          <w:trHeight w:hRule="atLeast" w:val="21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180"/>
            <w:gridSpan w:val="1"/>
            <w:vMerge w:val="continue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620"/>
            <w:gridSpan w:val="1"/>
            <w:vMerge w:val="continue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964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2024</w:t>
            </w:r>
          </w:p>
        </w:tc>
        <w:tc>
          <w:tcPr>
            <w:tcW w:type="dxa" w:w="964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2025</w:t>
            </w:r>
          </w:p>
        </w:tc>
        <w:tc>
          <w:tcPr>
            <w:tcW w:type="dxa" w:w="964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2026</w:t>
            </w:r>
          </w:p>
        </w:tc>
        <w:tc>
          <w:tcPr>
            <w:tcW w:type="dxa" w:w="2268"/>
            <w:gridSpan w:val="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2027</w:t>
            </w:r>
          </w:p>
        </w:tc>
        <w:tc>
          <w:tcPr>
            <w:tcW w:type="dxa" w:w="2268"/>
            <w:gridSpan w:val="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2028</w:t>
            </w:r>
          </w:p>
        </w:tc>
        <w:tc>
          <w:tcPr>
            <w:tcW w:type="dxa" w:w="2268"/>
            <w:gridSpan w:val="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2029</w:t>
            </w:r>
          </w:p>
        </w:tc>
      </w:tr>
      <w:tr>
        <w:trPr>
          <w:trHeight w:hRule="atLeast" w:val="24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180"/>
            <w:gridSpan w:val="1"/>
            <w:vMerge w:val="continue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620"/>
            <w:gridSpan w:val="1"/>
            <w:vMerge w:val="continue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964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964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964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консерва-тивный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базовый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консерва-тивный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базовый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консерва-</w:t>
            </w:r>
          </w:p>
          <w:p w14:paraId="25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тивный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базовый</w:t>
            </w:r>
          </w:p>
        </w:tc>
      </w:tr>
      <w:tr>
        <w:trPr>
          <w:trHeight w:hRule="atLeast" w:val="240"/>
        </w:trPr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180"/>
            <w:gridSpan w:val="1"/>
            <w:vMerge w:val="continue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620"/>
            <w:gridSpan w:val="1"/>
            <w:vMerge w:val="continue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964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964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964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  <w:p w14:paraId="28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 вариант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2 </w:t>
            </w:r>
          </w:p>
          <w:p w14:paraId="2A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вари</w:t>
            </w:r>
            <w:r>
              <w:rPr>
                <w:rFonts w:ascii="XO Thames" w:hAnsi="XO Thames"/>
                <w:sz w:val="20"/>
              </w:rPr>
              <w:t>ант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1 </w:t>
            </w:r>
          </w:p>
          <w:p w14:paraId="2C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вариант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2 </w:t>
            </w:r>
          </w:p>
          <w:p w14:paraId="2E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вари</w:t>
            </w:r>
            <w:r>
              <w:rPr>
                <w:rFonts w:ascii="XO Thames" w:hAnsi="XO Thames"/>
                <w:sz w:val="20"/>
              </w:rPr>
              <w:t>ант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  <w:p w14:paraId="30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 вариант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2 </w:t>
            </w:r>
          </w:p>
          <w:p w14:paraId="32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вари</w:t>
            </w:r>
            <w:r>
              <w:rPr>
                <w:rFonts w:ascii="XO Thames" w:hAnsi="XO Thames"/>
                <w:sz w:val="20"/>
              </w:rPr>
              <w:t>ант</w:t>
            </w:r>
          </w:p>
        </w:tc>
      </w:tr>
      <w:tr>
        <w:trPr>
          <w:trHeight w:hRule="atLeast" w:val="210"/>
        </w:trPr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E2EFDA" w:val="clear"/>
            <w:vAlign w:val="center"/>
          </w:tcPr>
          <w:p w14:paraId="33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31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E2EFDA" w:val="clear"/>
            <w:vAlign w:val="center"/>
          </w:tcPr>
          <w:p w14:paraId="34000000">
            <w:pPr>
              <w:ind w:firstLine="0" w:left="0"/>
              <w:jc w:val="left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Промышленное производство</w:t>
            </w:r>
          </w:p>
        </w:tc>
        <w:tc>
          <w:tcPr>
            <w:tcW w:type="dxa" w:w="16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E2EFDA" w:val="clear"/>
            <w:vAlign w:val="center"/>
          </w:tcPr>
          <w:p w14:paraId="35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96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E2EFDA" w:val="clear"/>
            <w:vAlign w:val="center"/>
          </w:tcPr>
          <w:p w14:paraId="36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96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E2EFDA" w:val="clear"/>
            <w:vAlign w:val="center"/>
          </w:tcPr>
          <w:p w14:paraId="37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96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E2EFDA" w:val="clear"/>
            <w:vAlign w:val="center"/>
          </w:tcPr>
          <w:p w14:paraId="38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E2EFDA" w:val="clear"/>
            <w:vAlign w:val="center"/>
          </w:tcPr>
          <w:p w14:paraId="39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E2EFDA" w:val="clear"/>
            <w:vAlign w:val="center"/>
          </w:tcPr>
          <w:p w14:paraId="3A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E2EFDA" w:val="clear"/>
            <w:vAlign w:val="center"/>
          </w:tcPr>
          <w:p w14:paraId="3B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E2EFDA" w:val="clear"/>
            <w:vAlign w:val="center"/>
          </w:tcPr>
          <w:p w14:paraId="3C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E2EFDA" w:val="clear"/>
            <w:vAlign w:val="center"/>
          </w:tcPr>
          <w:p w14:paraId="3D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E2EFDA" w:val="clear"/>
            <w:vAlign w:val="center"/>
          </w:tcPr>
          <w:p w14:paraId="3E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</w:tr>
      <w:tr>
        <w:trPr>
          <w:trHeight w:hRule="atLeast" w:val="420"/>
        </w:trPr>
        <w:tc>
          <w:tcPr>
            <w:tcW w:type="dxa" w:w="850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3.1</w:t>
            </w:r>
          </w:p>
        </w:tc>
        <w:tc>
          <w:tcPr>
            <w:tcW w:type="dxa" w:w="3180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00000">
            <w:pPr>
              <w:ind w:firstLine="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Объем отгруженных товаров собственного производства, выполненных работ и услуг собственными силами</w:t>
            </w:r>
          </w:p>
        </w:tc>
        <w:tc>
          <w:tcPr>
            <w:tcW w:type="dxa" w:w="1620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млн руб.</w:t>
            </w:r>
          </w:p>
        </w:tc>
        <w:tc>
          <w:tcPr>
            <w:tcW w:type="dxa" w:w="96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1 569,0</w:t>
            </w:r>
          </w:p>
        </w:tc>
        <w:tc>
          <w:tcPr>
            <w:tcW w:type="dxa" w:w="96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1 550,6</w:t>
            </w:r>
          </w:p>
        </w:tc>
        <w:tc>
          <w:tcPr>
            <w:tcW w:type="dxa" w:w="96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1 572,3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1 643,1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1 644,9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1 716,6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1 719,7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1 792,0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1 797,0</w:t>
            </w:r>
          </w:p>
        </w:tc>
      </w:tr>
      <w:tr>
        <w:trPr>
          <w:trHeight w:hRule="atLeast" w:val="42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3.2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00000">
            <w:pPr>
              <w:ind w:firstLine="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Индекс промышленного производства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% к предыдущему году</w:t>
            </w:r>
            <w:r>
              <w:rPr>
                <w:rFonts w:ascii="XO Thames" w:hAnsi="XO Thames"/>
                <w:sz w:val="20"/>
              </w:rPr>
              <w:br/>
            </w:r>
            <w:r>
              <w:rPr>
                <w:rFonts w:ascii="XO Thames" w:hAnsi="XO Thames"/>
                <w:sz w:val="20"/>
              </w:rPr>
              <w:t>в сопоставимых ценах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103,4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88,3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95,7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100,2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100,3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100,4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100,6</w:t>
            </w:r>
          </w:p>
        </w:tc>
      </w:tr>
      <w:tr>
        <w:trPr>
          <w:trHeight w:hRule="atLeast" w:val="435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00000">
            <w:pPr>
              <w:ind w:firstLine="0" w:left="0"/>
              <w:jc w:val="left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Индексы производства по видам экономической деятельности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</w:tr>
      <w:tr>
        <w:trPr>
          <w:trHeight w:hRule="atLeast" w:val="42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3.3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00000">
            <w:pPr>
              <w:ind w:firstLine="0" w:left="0"/>
              <w:jc w:val="left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Добыча полезных ископаемых (раздел B)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% к предыдущему году</w:t>
            </w:r>
            <w:r>
              <w:rPr>
                <w:rFonts w:ascii="XO Thames" w:hAnsi="XO Thames"/>
                <w:sz w:val="20"/>
              </w:rPr>
              <w:br/>
            </w:r>
            <w:r>
              <w:rPr>
                <w:rFonts w:ascii="XO Thames" w:hAnsi="XO Thames"/>
                <w:sz w:val="20"/>
              </w:rPr>
              <w:t>в сопоставимых ценах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103,7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70,7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99,0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100,4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100,6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100,7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100,8</w:t>
            </w:r>
          </w:p>
        </w:tc>
      </w:tr>
      <w:tr>
        <w:trPr>
          <w:trHeight w:hRule="atLeast" w:val="405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3.7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00000">
            <w:pPr>
              <w:ind w:firstLine="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Добыча прочих полезных ископаемых (08)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% к предыдущему году</w:t>
            </w:r>
            <w:r>
              <w:rPr>
                <w:rFonts w:ascii="XO Thames" w:hAnsi="XO Thames"/>
                <w:sz w:val="20"/>
              </w:rPr>
              <w:br/>
            </w:r>
            <w:r>
              <w:rPr>
                <w:rFonts w:ascii="XO Thames" w:hAnsi="XO Thames"/>
                <w:sz w:val="20"/>
              </w:rPr>
              <w:t>в сопоставимых ценах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103,7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70,7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99,0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100,4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100,6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100,7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100,8</w:t>
            </w:r>
          </w:p>
        </w:tc>
      </w:tr>
      <w:tr>
        <w:trPr>
          <w:trHeight w:hRule="atLeast" w:val="42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3.9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00000">
            <w:pPr>
              <w:ind w:firstLine="0" w:left="0"/>
              <w:jc w:val="left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Обрабатывающие производства (раздел C)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% к предыдущему году</w:t>
            </w:r>
            <w:r>
              <w:rPr>
                <w:rFonts w:ascii="XO Thames" w:hAnsi="XO Thames"/>
                <w:sz w:val="20"/>
              </w:rPr>
              <w:br/>
            </w:r>
            <w:r>
              <w:rPr>
                <w:rFonts w:ascii="XO Thames" w:hAnsi="XO Thames"/>
                <w:sz w:val="20"/>
              </w:rPr>
              <w:t>в сопоставимых ценах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103,8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107,7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95,0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100,2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100,3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100,4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100,5</w:t>
            </w:r>
          </w:p>
        </w:tc>
      </w:tr>
      <w:tr>
        <w:trPr>
          <w:trHeight w:hRule="atLeast" w:val="42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3.10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00000">
            <w:pPr>
              <w:ind w:firstLine="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Производство пищевых продуктов (10)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% к предыдущему году</w:t>
            </w:r>
            <w:r>
              <w:rPr>
                <w:rFonts w:ascii="XO Thames" w:hAnsi="XO Thames"/>
                <w:sz w:val="20"/>
              </w:rPr>
              <w:br/>
            </w:r>
            <w:r>
              <w:rPr>
                <w:rFonts w:ascii="XO Thames" w:hAnsi="XO Thames"/>
                <w:sz w:val="20"/>
              </w:rPr>
              <w:t>в сопоставимых ценах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97,2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99,0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98,0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100,2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100,3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100,4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100,6</w:t>
            </w:r>
          </w:p>
        </w:tc>
      </w:tr>
      <w:tr>
        <w:trPr>
          <w:trHeight w:hRule="atLeast" w:val="42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3.11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000000">
            <w:pPr>
              <w:ind w:firstLine="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Производство напитков (11)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% к предыдущему году</w:t>
            </w:r>
            <w:r>
              <w:rPr>
                <w:rFonts w:ascii="XO Thames" w:hAnsi="XO Thames"/>
                <w:sz w:val="20"/>
              </w:rPr>
              <w:br/>
            </w:r>
            <w:r>
              <w:rPr>
                <w:rFonts w:ascii="XO Thames" w:hAnsi="XO Thames"/>
                <w:sz w:val="20"/>
              </w:rPr>
              <w:t>в сопоставимых ценах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270,0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97,0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100,2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100,4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100,6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100,8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101,0</w:t>
            </w:r>
          </w:p>
        </w:tc>
      </w:tr>
      <w:tr>
        <w:trPr>
          <w:trHeight w:hRule="atLeast" w:val="63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3.16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00000">
            <w:pPr>
              <w:ind w:firstLine="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Обработка древесины и производство изделий из дерева и пробки, кроме мебели, производство изделий из соломки и материалов для плетения (16)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% к предыдущему году</w:t>
            </w:r>
            <w:r>
              <w:rPr>
                <w:rFonts w:ascii="XO Thames" w:hAnsi="XO Thames"/>
                <w:sz w:val="20"/>
              </w:rPr>
              <w:br/>
            </w:r>
            <w:r>
              <w:rPr>
                <w:rFonts w:ascii="XO Thames" w:hAnsi="XO Thames"/>
                <w:sz w:val="20"/>
              </w:rPr>
              <w:t>в сопоставимых ценах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122,5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100,0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95,0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100,2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100,3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100,4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100,5</w:t>
            </w:r>
          </w:p>
        </w:tc>
      </w:tr>
      <w:tr>
        <w:trPr>
          <w:trHeight w:hRule="atLeast" w:val="63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3.22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00000">
            <w:pPr>
              <w:ind w:firstLine="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Производство резиновых и пластмассовых изделий (22)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% к предыдущему году</w:t>
            </w:r>
            <w:r>
              <w:rPr>
                <w:rFonts w:ascii="XO Thames" w:hAnsi="XO Thames"/>
                <w:sz w:val="20"/>
              </w:rPr>
              <w:br/>
            </w:r>
            <w:r>
              <w:rPr>
                <w:rFonts w:ascii="XO Thames" w:hAnsi="XO Thames"/>
                <w:sz w:val="20"/>
              </w:rPr>
              <w:t>в сопоставимых ценах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116,5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100,0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95,0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100,2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100,3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100,4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100,5</w:t>
            </w:r>
          </w:p>
        </w:tc>
      </w:tr>
      <w:tr>
        <w:trPr>
          <w:trHeight w:hRule="atLeast" w:val="405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3.23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00000">
            <w:pPr>
              <w:ind w:firstLine="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Производство прочей неметаллической минеральной продукции (23)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% к предыдущему году</w:t>
            </w:r>
            <w:r>
              <w:rPr>
                <w:rFonts w:ascii="XO Thames" w:hAnsi="XO Thames"/>
                <w:sz w:val="20"/>
              </w:rPr>
              <w:br/>
            </w:r>
            <w:r>
              <w:rPr>
                <w:rFonts w:ascii="XO Thames" w:hAnsi="XO Thames"/>
                <w:sz w:val="20"/>
              </w:rPr>
              <w:t>в сопоставимых ценах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104,1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107,5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94,0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100,2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100,3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100,4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100,5</w:t>
            </w:r>
          </w:p>
        </w:tc>
      </w:tr>
      <w:tr>
        <w:trPr>
          <w:trHeight w:hRule="atLeast" w:val="42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3.34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00000">
            <w:pPr>
              <w:ind w:firstLine="0" w:left="0"/>
              <w:jc w:val="left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 xml:space="preserve">Обеспечение электрической энергией, газом и </w:t>
            </w:r>
            <w:r>
              <w:rPr>
                <w:rFonts w:ascii="XO Thames" w:hAnsi="XO Thames"/>
                <w:i w:val="1"/>
                <w:sz w:val="20"/>
              </w:rPr>
              <w:t>паром;</w:t>
            </w:r>
            <w:r>
              <w:rPr>
                <w:rFonts w:ascii="XO Thames" w:hAnsi="XO Thames"/>
                <w:i w:val="1"/>
                <w:sz w:val="20"/>
              </w:rPr>
              <w:br/>
            </w:r>
            <w:r>
              <w:rPr>
                <w:rFonts w:ascii="XO Thames" w:hAnsi="XO Thames"/>
                <w:i w:val="1"/>
                <w:sz w:val="20"/>
              </w:rPr>
              <w:t>кондиционирование</w:t>
            </w:r>
            <w:r>
              <w:rPr>
                <w:rFonts w:ascii="XO Thames" w:hAnsi="XO Thames"/>
                <w:i w:val="1"/>
                <w:sz w:val="20"/>
              </w:rPr>
              <w:t xml:space="preserve"> воздуха (раздел D)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% к предыдущему году</w:t>
            </w:r>
            <w:r>
              <w:rPr>
                <w:rFonts w:ascii="XO Thames" w:hAnsi="XO Thames"/>
                <w:sz w:val="20"/>
              </w:rPr>
              <w:br/>
            </w:r>
            <w:r>
              <w:rPr>
                <w:rFonts w:ascii="XO Thames" w:hAnsi="XO Thames"/>
                <w:sz w:val="20"/>
              </w:rPr>
              <w:t>в сопоставимых ценах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100,3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93,6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91,0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100,2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100,3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100,4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100,5</w:t>
            </w:r>
          </w:p>
        </w:tc>
      </w:tr>
      <w:tr>
        <w:trPr>
          <w:trHeight w:hRule="atLeast" w:val="525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3.35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00000">
            <w:pPr>
              <w:ind w:firstLine="0" w:left="0"/>
              <w:jc w:val="left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Водоснабжение; водоотведение, организация сбора и утилизации отходов, деятельность по ликвидации загрязнений (раздел E)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% к предыдущему году</w:t>
            </w:r>
            <w:r>
              <w:rPr>
                <w:rFonts w:ascii="XO Thames" w:hAnsi="XO Thames"/>
                <w:sz w:val="20"/>
              </w:rPr>
              <w:t>в сопоставимых ценах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122,6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107,0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95,0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100,3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100,4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100,6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100,7</w:t>
            </w:r>
          </w:p>
        </w:tc>
      </w:tr>
      <w:tr>
        <w:trPr>
          <w:trHeight w:hRule="atLeast" w:val="21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DB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DC000000">
            <w:pPr>
              <w:ind w:firstLine="0" w:left="0"/>
              <w:jc w:val="left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Сельское хозяйство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DD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DE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DF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E0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E1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E2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E3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E4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E5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E6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</w:tr>
      <w:tr>
        <w:trPr>
          <w:trHeight w:hRule="atLeast" w:val="20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4.1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00000">
            <w:pPr>
              <w:ind w:firstLine="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Продукция сельского хозяйства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млн руб.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3 443,0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4 173,0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4 404,0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4 622,0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4 638,0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4 855,4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4 888,0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5 122,4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5 169,4</w:t>
            </w:r>
          </w:p>
        </w:tc>
      </w:tr>
      <w:tr>
        <w:trPr>
          <w:trHeight w:hRule="atLeast" w:val="42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4.2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00000">
            <w:pPr>
              <w:ind w:firstLine="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Индекс производства продукции сельского хозяйства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% к предыдущему году</w:t>
            </w:r>
            <w:r>
              <w:rPr>
                <w:rFonts w:ascii="XO Thames" w:hAnsi="XO Thames"/>
                <w:sz w:val="20"/>
              </w:rPr>
              <w:br/>
            </w:r>
            <w:r>
              <w:rPr>
                <w:rFonts w:ascii="XO Thames" w:hAnsi="XO Thames"/>
                <w:sz w:val="20"/>
              </w:rPr>
              <w:t>в сопоставимых ценах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91,7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110,5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101,0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100,4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100,9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100,8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101,1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101,3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101,7</w:t>
            </w:r>
          </w:p>
        </w:tc>
      </w:tr>
      <w:tr>
        <w:trPr>
          <w:trHeight w:hRule="atLeast" w:val="21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0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4.3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10000">
            <w:pPr>
              <w:ind w:firstLine="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Продукция растениеводства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млн руб.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2 139,0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2 874,0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3 037,0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3 190,0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3 201,0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3 352,0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3 375,0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3 528,0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3 553,0</w:t>
            </w:r>
          </w:p>
        </w:tc>
      </w:tr>
      <w:tr>
        <w:trPr>
          <w:trHeight w:hRule="atLeast" w:val="42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4.4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10000">
            <w:pPr>
              <w:ind w:firstLine="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Индекс производства продукции растениеводства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% к предыдущему году</w:t>
            </w:r>
            <w:r>
              <w:rPr>
                <w:rFonts w:ascii="XO Thames" w:hAnsi="XO Thames"/>
                <w:sz w:val="20"/>
              </w:rPr>
              <w:br/>
            </w:r>
            <w:r>
              <w:rPr>
                <w:rFonts w:ascii="XO Thames" w:hAnsi="XO Thames"/>
                <w:sz w:val="20"/>
              </w:rPr>
              <w:t>в сопоставимых ценах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89,7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125,7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101,1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100,4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101,0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100,8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101,1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101,0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101,2</w:t>
            </w:r>
          </w:p>
        </w:tc>
      </w:tr>
      <w:tr>
        <w:trPr>
          <w:trHeight w:hRule="atLeast" w:val="20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4.5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10000">
            <w:pPr>
              <w:ind w:firstLine="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Продукция животноводства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млн руб.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1 304,0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1 299,0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1 367,0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1 432,0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1 437,0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1 504,0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1 512,0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1 594,0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1 617,0</w:t>
            </w:r>
          </w:p>
        </w:tc>
      </w:tr>
      <w:tr>
        <w:trPr>
          <w:trHeight w:hRule="atLeast" w:val="42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4.6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010000">
            <w:pPr>
              <w:ind w:firstLine="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Индекс производства продукции животноводства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% к предыдущему году</w:t>
            </w:r>
            <w:r>
              <w:rPr>
                <w:rFonts w:ascii="XO Thames" w:hAnsi="XO Thames"/>
                <w:sz w:val="20"/>
              </w:rPr>
              <w:br/>
            </w:r>
            <w:r>
              <w:rPr>
                <w:rFonts w:ascii="XO Thames" w:hAnsi="XO Thames"/>
                <w:sz w:val="20"/>
              </w:rPr>
              <w:t>в сопоставимых ценах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95,1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85,2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100,7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100,3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100,7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100,9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101,1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101,9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102,8</w:t>
            </w:r>
          </w:p>
        </w:tc>
      </w:tr>
      <w:tr>
        <w:trPr>
          <w:trHeight w:hRule="atLeast" w:val="21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2F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30010000">
            <w:pPr>
              <w:ind w:firstLine="0" w:left="0"/>
              <w:jc w:val="left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Строительство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31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32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33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34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35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36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37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38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39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3A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</w:tr>
      <w:tr>
        <w:trPr>
          <w:trHeight w:hRule="atLeast" w:val="42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5.1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10000">
            <w:pPr>
              <w:ind w:firstLine="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Объем работ, выполненных по виду деятельности "Строительство"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в ценах соответствующих лет; млн руб.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1 215,2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878,9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920,0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966,0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967,0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1 012,0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1 014,0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1 059,0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1 062,0</w:t>
            </w:r>
          </w:p>
        </w:tc>
      </w:tr>
      <w:tr>
        <w:trPr>
          <w:trHeight w:hRule="atLeast" w:val="42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5.2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10000">
            <w:pPr>
              <w:ind w:firstLine="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Индекс физического объема работ, выполненных по виду деятельности "Строительство"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% к предыдущему году</w:t>
            </w:r>
            <w:r>
              <w:rPr>
                <w:rFonts w:ascii="XO Thames" w:hAnsi="XO Thames"/>
                <w:sz w:val="20"/>
              </w:rPr>
              <w:br/>
            </w:r>
            <w:r>
              <w:rPr>
                <w:rFonts w:ascii="XO Thames" w:hAnsi="XO Thames"/>
                <w:sz w:val="20"/>
              </w:rPr>
              <w:t>в сопоставимых ценах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107,2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10000">
            <w:pPr>
              <w:ind w:firstLine="0" w:left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67,2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10000">
            <w:pPr>
              <w:ind w:firstLine="0" w:left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98,8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10000">
            <w:pPr>
              <w:ind w:firstLine="0" w:left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100,2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10000">
            <w:pPr>
              <w:ind w:firstLine="0" w:left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100,4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100,6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100,7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100,8</w:t>
            </w:r>
          </w:p>
        </w:tc>
      </w:tr>
      <w:tr>
        <w:trPr>
          <w:trHeight w:hRule="atLeast" w:val="21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5.4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10000">
            <w:pPr>
              <w:ind w:firstLine="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Ввод в действие жилых домов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тыс. кв. м общей площади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7,5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5,8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5,0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3,8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4,0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3,8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4,0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3,8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4,0</w:t>
            </w:r>
          </w:p>
        </w:tc>
      </w:tr>
      <w:tr>
        <w:trPr>
          <w:trHeight w:hRule="atLeast" w:val="21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5F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60010000">
            <w:pPr>
              <w:ind w:firstLine="0" w:left="0"/>
              <w:jc w:val="left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Торговля и услуги населению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61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62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63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64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65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66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67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68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69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6A010000">
            <w:pPr>
              <w:rPr>
                <w:rFonts w:ascii="XO Thames" w:hAnsi="XO Thames"/>
              </w:rPr>
            </w:pPr>
          </w:p>
        </w:tc>
      </w:tr>
      <w:tr>
        <w:trPr>
          <w:trHeight w:hRule="atLeast" w:val="42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6.1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10000">
            <w:pPr>
              <w:ind w:firstLine="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Индекс потребительских цен на товары и услуги, на конец года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% к декабрю</w:t>
            </w:r>
            <w:r>
              <w:rPr>
                <w:rFonts w:ascii="XO Thames" w:hAnsi="XO Thames"/>
                <w:sz w:val="20"/>
              </w:rPr>
              <w:br/>
            </w:r>
            <w:r>
              <w:rPr>
                <w:rFonts w:ascii="XO Thames" w:hAnsi="XO Thames"/>
                <w:sz w:val="20"/>
              </w:rPr>
              <w:t>предыдущего года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109,6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106,06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105,5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104,4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104,2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104,4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104,2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104,4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104,2</w:t>
            </w:r>
          </w:p>
        </w:tc>
      </w:tr>
      <w:tr>
        <w:trPr>
          <w:trHeight w:hRule="atLeast" w:val="21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6.2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10000">
            <w:pPr>
              <w:ind w:firstLine="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Индекс потребительских цен на товары и услуги, в среднем за год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% г/г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108,9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109,4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106,1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104,5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104,4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104,5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104,4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104,5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104,4</w:t>
            </w:r>
          </w:p>
        </w:tc>
      </w:tr>
      <w:tr>
        <w:trPr>
          <w:trHeight w:hRule="atLeast" w:val="21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6.3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10000">
            <w:pPr>
              <w:ind w:firstLine="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Оборот розничной торговли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млн рублей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2 320,0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2 539,2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2 685,5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2 835,1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2 837,9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3 010,5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3 016,4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3 212,3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3 221,8</w:t>
            </w:r>
          </w:p>
        </w:tc>
      </w:tr>
      <w:tr>
        <w:trPr>
          <w:trHeight w:hRule="atLeast" w:val="42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6.4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10000">
            <w:pPr>
              <w:ind w:firstLine="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Индекс физического объема оборота розничной торговли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% к предыдущему году</w:t>
            </w:r>
            <w:r>
              <w:rPr>
                <w:rFonts w:ascii="XO Thames" w:hAnsi="XO Thames"/>
                <w:sz w:val="20"/>
              </w:rPr>
              <w:br/>
            </w:r>
            <w:r>
              <w:rPr>
                <w:rFonts w:ascii="XO Thames" w:hAnsi="XO Thames"/>
                <w:sz w:val="20"/>
              </w:rPr>
              <w:t>в сопоставимых ценах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109,9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102,5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101,5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102,0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102,1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102,3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102,4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102,6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102,7</w:t>
            </w:r>
          </w:p>
        </w:tc>
      </w:tr>
      <w:tr>
        <w:trPr>
          <w:trHeight w:hRule="atLeast" w:val="21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6.5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10000">
            <w:pPr>
              <w:ind w:firstLine="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Индекс-дефлятор оборота розничной торговли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% г/г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107,0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106,8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104,2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103,5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103,5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103,8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103,8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104,0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104,0</w:t>
            </w:r>
          </w:p>
        </w:tc>
      </w:tr>
      <w:tr>
        <w:trPr>
          <w:trHeight w:hRule="atLeast" w:val="20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6.6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10000">
            <w:pPr>
              <w:ind w:firstLine="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Объем платных услуг населению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млн рублей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752,9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876,7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959,0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1 013,9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1 014,9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1 069,0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1 071,1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1 122,8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1 126,2</w:t>
            </w:r>
          </w:p>
        </w:tc>
      </w:tr>
      <w:tr>
        <w:trPr>
          <w:trHeight w:hRule="atLeast" w:val="42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6.7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10000">
            <w:pPr>
              <w:ind w:firstLine="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Индекс физического объема платных услуг населению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% к предыдущему году</w:t>
            </w:r>
            <w:r>
              <w:rPr>
                <w:rFonts w:ascii="XO Thames" w:hAnsi="XO Thames"/>
                <w:sz w:val="20"/>
              </w:rPr>
              <w:br/>
            </w:r>
            <w:r>
              <w:rPr>
                <w:rFonts w:ascii="XO Thames" w:hAnsi="XO Thames"/>
                <w:sz w:val="20"/>
              </w:rPr>
              <w:t>в сопоставимых ценах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103,5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101,0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101,0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100,6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100,7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100,8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100,9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101,0</w:t>
            </w:r>
          </w:p>
        </w:tc>
      </w:tr>
      <w:tr>
        <w:trPr>
          <w:trHeight w:hRule="atLeast" w:val="21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6.8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10000">
            <w:pPr>
              <w:ind w:firstLine="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Индекс-дефлятор объема платных услуг населению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% г/г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110,1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115,3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108,3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105,2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105,2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104,7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104,7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104,1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104,1</w:t>
            </w:r>
          </w:p>
        </w:tc>
      </w:tr>
      <w:tr>
        <w:trPr>
          <w:trHeight w:hRule="atLeast" w:val="42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CB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CC010000">
            <w:pPr>
              <w:ind w:firstLine="0" w:left="0"/>
              <w:jc w:val="left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Малое и среднее предпринимательство, включая микропредприятия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CD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CE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CF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D0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D1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D2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D3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D4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D5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D6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</w:tr>
      <w:tr>
        <w:trPr>
          <w:trHeight w:hRule="atLeast" w:val="85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8.1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10000">
            <w:pPr>
              <w:ind w:firstLine="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Количество малых и средних предприятий, включая микропредприятия (на конец года)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единиц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themeFill="background1" w:val="clear"/>
            <w:vAlign w:val="center"/>
          </w:tcPr>
          <w:p w14:paraId="DA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337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354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355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356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356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357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357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358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358</w:t>
            </w:r>
          </w:p>
        </w:tc>
      </w:tr>
      <w:tr>
        <w:trPr>
          <w:trHeight w:hRule="atLeast" w:val="72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8.2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010000">
            <w:pPr>
              <w:ind w:firstLine="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Среднесписочная численность работников на предприятиях малого и среднего предпринимательства (включая микропредприятия) (без внешних совместителей)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тыс. чел.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themeFill="background1" w:val="clear"/>
            <w:vAlign w:val="center"/>
          </w:tcPr>
          <w:p w14:paraId="E6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0,795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0,918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0,910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0,905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0,905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0,900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0,900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0,895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0,895</w:t>
            </w:r>
          </w:p>
        </w:tc>
      </w:tr>
      <w:tr>
        <w:trPr>
          <w:trHeight w:hRule="atLeast" w:val="45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8.3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10000">
            <w:pPr>
              <w:ind w:firstLine="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Оборот малых и средних предприятий, включая микропредприятия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млрд руб.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themeFill="background1" w:val="clear"/>
            <w:vAlign w:val="center"/>
          </w:tcPr>
          <w:p w14:paraId="F2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2,480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2,913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2,915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2,918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2,919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2,921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2,923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2,925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2,927</w:t>
            </w:r>
          </w:p>
        </w:tc>
      </w:tr>
      <w:tr>
        <w:trPr>
          <w:trHeight w:hRule="atLeast" w:val="21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FB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FC010000">
            <w:pPr>
              <w:ind w:firstLine="0" w:left="0"/>
              <w:jc w:val="left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Инвестиции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FD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FE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FF01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00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01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02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03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04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05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06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</w:tr>
      <w:tr>
        <w:trPr>
          <w:trHeight w:hRule="atLeast" w:val="21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9.1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20000">
            <w:pPr>
              <w:ind w:firstLine="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Инвестиции в основной капитал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млн рублей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1 373,03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686,75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786,90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797,00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797,10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589,50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590,00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615,00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618,00</w:t>
            </w:r>
          </w:p>
        </w:tc>
      </w:tr>
      <w:tr>
        <w:trPr>
          <w:trHeight w:hRule="atLeast" w:val="42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9.2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20000">
            <w:pPr>
              <w:ind w:firstLine="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Индекс физического объема инвестиций в основной капитал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% к предыдущему году</w:t>
            </w:r>
            <w:r>
              <w:rPr>
                <w:rFonts w:ascii="XO Thames" w:hAnsi="XO Thames"/>
                <w:sz w:val="20"/>
              </w:rPr>
              <w:br/>
            </w:r>
            <w:r>
              <w:rPr>
                <w:rFonts w:ascii="XO Thames" w:hAnsi="XO Thames"/>
                <w:sz w:val="20"/>
              </w:rPr>
              <w:t>в сопоставимых ценах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105,1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44,2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107,6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96,5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96,5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71,1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71,1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100,2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100,6</w:t>
            </w:r>
          </w:p>
        </w:tc>
      </w:tr>
      <w:tr>
        <w:trPr>
          <w:trHeight w:hRule="atLeast" w:val="21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9.3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20000">
            <w:pPr>
              <w:ind w:firstLine="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Индекс-дефлятор инвестиций в основной капитал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% г/г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110,1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113,1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106,5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105,0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105,0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104,1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104,1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104,1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104,1</w:t>
            </w:r>
          </w:p>
        </w:tc>
      </w:tr>
      <w:tr>
        <w:trPr>
          <w:trHeight w:hRule="atLeast" w:val="72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20000">
            <w:pPr>
              <w:ind w:firstLine="0" w:left="0"/>
              <w:jc w:val="left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Инвестиции в основной капитал по источникам</w:t>
            </w:r>
            <w:r>
              <w:rPr>
                <w:rFonts w:ascii="XO Thames" w:hAnsi="XO Thames"/>
                <w:i w:val="1"/>
                <w:sz w:val="20"/>
              </w:rPr>
              <w:br/>
            </w:r>
            <w:r>
              <w:rPr>
                <w:rFonts w:ascii="XO Thames" w:hAnsi="XO Thames"/>
                <w:i w:val="1"/>
                <w:sz w:val="20"/>
              </w:rPr>
              <w:t>финансирования (без субъектов малого и среднего предпринимательства и объема инвестиций, не наблюдаемых прямыми статистическими методами)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707,50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134,11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216,70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652,60 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656,80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236,70 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238,00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341,30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243,00</w:t>
            </w:r>
          </w:p>
        </w:tc>
      </w:tr>
      <w:tr>
        <w:trPr>
          <w:trHeight w:hRule="atLeast" w:val="21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9.5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20000">
            <w:pPr>
              <w:ind w:firstLine="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Собственные средства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млн рублей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51,80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42,70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43,00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43,50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44,00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44,20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44,40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45,10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45,50</w:t>
            </w:r>
          </w:p>
        </w:tc>
      </w:tr>
      <w:tr>
        <w:trPr>
          <w:trHeight w:hRule="atLeast" w:val="21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9.6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20000">
            <w:pPr>
              <w:ind w:firstLine="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Привлеченные средства, из них: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млн рублей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655,70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91,41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173,70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609,10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612,80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192,50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193,60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196,20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197,50</w:t>
            </w:r>
          </w:p>
        </w:tc>
      </w:tr>
      <w:tr>
        <w:trPr>
          <w:trHeight w:hRule="atLeast" w:val="21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9.6.1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20000">
            <w:pPr>
              <w:ind w:firstLine="20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кредиты банков, в том числе: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млн рублей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64,90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25,40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25,00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25,30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25,50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25,80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26,00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26,80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27,00</w:t>
            </w:r>
          </w:p>
        </w:tc>
      </w:tr>
      <w:tr>
        <w:trPr>
          <w:trHeight w:hRule="atLeast" w:val="21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9.6.1.1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20000">
            <w:pPr>
              <w:ind w:firstLine="40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кредиты иностранных банков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млн рублей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</w:tr>
      <w:tr>
        <w:trPr>
          <w:trHeight w:hRule="atLeast" w:val="21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67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9.6.2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68020000">
            <w:pPr>
              <w:ind w:firstLine="20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заемные средства других организаций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69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млн рублей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6A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30,30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6B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2,50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6C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2,60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6D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2,70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6E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2,80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6F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2,90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70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3,10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71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3,30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72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3,50</w:t>
            </w:r>
          </w:p>
        </w:tc>
      </w:tr>
      <w:tr>
        <w:trPr>
          <w:trHeight w:hRule="atLeast" w:val="210"/>
        </w:trPr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73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9.6.3</w:t>
            </w:r>
          </w:p>
        </w:tc>
        <w:tc>
          <w:tcPr>
            <w:tcW w:type="dxa" w:w="31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74020000">
            <w:pPr>
              <w:ind w:firstLine="20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бюджетные средства, в том числе:</w:t>
            </w:r>
          </w:p>
        </w:tc>
        <w:tc>
          <w:tcPr>
            <w:tcW w:type="dxa" w:w="16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75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млн рублей</w:t>
            </w:r>
          </w:p>
        </w:tc>
        <w:tc>
          <w:tcPr>
            <w:tcW w:type="dxa" w:w="96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76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558,20</w:t>
            </w:r>
          </w:p>
        </w:tc>
        <w:tc>
          <w:tcPr>
            <w:tcW w:type="dxa" w:w="96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77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61,91</w:t>
            </w:r>
          </w:p>
        </w:tc>
        <w:tc>
          <w:tcPr>
            <w:tcW w:type="dxa" w:w="96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78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144,40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79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578,80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7A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582,00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7B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162,40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7C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163,00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7D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164,40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7E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165,10</w:t>
            </w:r>
          </w:p>
        </w:tc>
      </w:tr>
      <w:tr>
        <w:trPr>
          <w:trHeight w:hRule="atLeast" w:val="210"/>
        </w:trPr>
        <w:tc>
          <w:tcPr>
            <w:tcW w:type="dxa" w:w="850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9.6.3.1</w:t>
            </w:r>
          </w:p>
        </w:tc>
        <w:tc>
          <w:tcPr>
            <w:tcW w:type="dxa" w:w="3180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20000">
            <w:pPr>
              <w:ind w:firstLine="40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федеральный бюджет</w:t>
            </w:r>
          </w:p>
        </w:tc>
        <w:tc>
          <w:tcPr>
            <w:tcW w:type="dxa" w:w="1620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млн рублей</w:t>
            </w:r>
          </w:p>
        </w:tc>
        <w:tc>
          <w:tcPr>
            <w:tcW w:type="dxa" w:w="96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63,40</w:t>
            </w:r>
          </w:p>
        </w:tc>
        <w:tc>
          <w:tcPr>
            <w:tcW w:type="dxa" w:w="96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2,80</w:t>
            </w:r>
          </w:p>
        </w:tc>
        <w:tc>
          <w:tcPr>
            <w:tcW w:type="dxa" w:w="96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60,00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66,00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68,00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41,80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42,00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42,60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42,80</w:t>
            </w:r>
          </w:p>
        </w:tc>
      </w:tr>
      <w:tr>
        <w:trPr>
          <w:trHeight w:hRule="atLeast" w:val="21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9.6.3.2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20000">
            <w:pPr>
              <w:ind w:firstLine="40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бюджеты субъектов Российской Федерации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млн рублей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475,70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56,73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81,60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502,00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503,00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112,90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113,00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113,50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113,70</w:t>
            </w:r>
          </w:p>
        </w:tc>
      </w:tr>
      <w:tr>
        <w:trPr>
          <w:trHeight w:hRule="atLeast" w:val="21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9.6.3.3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20000">
            <w:pPr>
              <w:ind w:firstLine="40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из местных бюджетов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млн рублей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19,10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2,38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2,80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10,80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11,00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7,70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8,00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8,30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8,60</w:t>
            </w:r>
          </w:p>
        </w:tc>
      </w:tr>
      <w:tr>
        <w:trPr>
          <w:trHeight w:hRule="atLeast" w:val="21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9.6.4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20000">
            <w:pPr>
              <w:ind w:firstLine="20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прочие</w:t>
            </w:r>
          </w:p>
          <w:p w14:paraId="A5020000">
            <w:pPr>
              <w:ind w:firstLine="200" w:left="0"/>
              <w:jc w:val="left"/>
              <w:rPr>
                <w:rFonts w:ascii="XO Thames" w:hAnsi="XO Thames"/>
                <w:sz w:val="20"/>
              </w:rPr>
            </w:pP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млн рублей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2,30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1,60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1,70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2,30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2,50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1,40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1,50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1,70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1,90</w:t>
            </w:r>
          </w:p>
        </w:tc>
      </w:tr>
      <w:tr>
        <w:trPr>
          <w:trHeight w:hRule="atLeast" w:val="21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B0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B1020000">
            <w:pPr>
              <w:ind w:firstLine="0" w:left="0"/>
              <w:jc w:val="left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Консолидированный бюджет субъекта Российской Федерации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B2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B3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B4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B5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B6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B7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B8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B9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BA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BB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</w:tr>
      <w:tr>
        <w:trPr>
          <w:trHeight w:hRule="atLeast" w:val="42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10.1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20000">
            <w:pPr>
              <w:ind w:firstLine="0" w:left="0"/>
              <w:jc w:val="left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Доходы консолидированного бюджета субъекта</w:t>
            </w:r>
            <w:r>
              <w:rPr>
                <w:rFonts w:ascii="XO Thames" w:hAnsi="XO Thames"/>
                <w:i w:val="1"/>
                <w:sz w:val="20"/>
              </w:rPr>
              <w:br/>
            </w:r>
            <w:r>
              <w:rPr>
                <w:rFonts w:ascii="XO Thames" w:hAnsi="XO Thames"/>
                <w:i w:val="1"/>
                <w:sz w:val="20"/>
              </w:rPr>
              <w:t>Российской Федерации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млн руб.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2 641,99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1 850,99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1 518,83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20000">
            <w:pPr>
              <w:ind w:firstLine="0" w:left="0"/>
              <w:jc w:val="center"/>
              <w:rPr>
                <w:rFonts w:ascii="XO Thames" w:hAnsi="XO Thames"/>
                <w:b w:val="0"/>
                <w:color w:val="000000"/>
                <w:sz w:val="20"/>
              </w:rPr>
            </w:pPr>
            <w:r>
              <w:rPr>
                <w:rFonts w:ascii="XO Thames" w:hAnsi="XO Thames"/>
                <w:b w:val="0"/>
                <w:color w:val="000000"/>
                <w:sz w:val="20"/>
              </w:rPr>
              <w:t>1 509,26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20000">
            <w:pPr>
              <w:ind w:firstLine="0" w:left="0"/>
              <w:jc w:val="center"/>
              <w:rPr>
                <w:rFonts w:ascii="XO Thames" w:hAnsi="XO Thames"/>
                <w:b w:val="0"/>
                <w:color w:val="000000"/>
                <w:sz w:val="20"/>
              </w:rPr>
            </w:pPr>
            <w:r>
              <w:rPr>
                <w:rFonts w:ascii="XO Thames" w:hAnsi="XO Thames"/>
                <w:b w:val="0"/>
                <w:color w:val="000000"/>
                <w:sz w:val="20"/>
              </w:rPr>
              <w:t>1 513,69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1 514,42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1 517,07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1 520,03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1 522,36</w:t>
            </w:r>
          </w:p>
        </w:tc>
      </w:tr>
      <w:tr>
        <w:trPr>
          <w:trHeight w:hRule="atLeast" w:val="21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10.2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20000">
            <w:pPr>
              <w:ind w:firstLine="0" w:left="0"/>
              <w:jc w:val="left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Налоговые и неналоговые доходы, всего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млн руб.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498,22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476,82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460,95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020000">
            <w:pPr>
              <w:ind w:firstLine="0" w:left="0"/>
              <w:jc w:val="center"/>
              <w:rPr>
                <w:rFonts w:ascii="XO Thames" w:hAnsi="XO Thames"/>
                <w:b w:val="0"/>
                <w:color w:val="000000"/>
                <w:sz w:val="20"/>
              </w:rPr>
            </w:pPr>
            <w:r>
              <w:rPr>
                <w:rFonts w:ascii="XO Thames" w:hAnsi="XO Thames"/>
                <w:b w:val="0"/>
                <w:color w:val="000000"/>
                <w:sz w:val="20"/>
              </w:rPr>
              <w:t>465,73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20000">
            <w:pPr>
              <w:ind w:firstLine="0" w:left="0"/>
              <w:jc w:val="center"/>
              <w:rPr>
                <w:rFonts w:ascii="XO Thames" w:hAnsi="XO Thames"/>
                <w:b w:val="0"/>
                <w:color w:val="000000"/>
                <w:sz w:val="20"/>
              </w:rPr>
            </w:pPr>
            <w:r>
              <w:rPr>
                <w:rFonts w:ascii="XO Thames" w:hAnsi="XO Thames"/>
                <w:b w:val="0"/>
                <w:color w:val="000000"/>
                <w:sz w:val="20"/>
              </w:rPr>
              <w:t>470,16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471,70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474,35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477,31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479,64</w:t>
            </w:r>
          </w:p>
        </w:tc>
      </w:tr>
      <w:tr>
        <w:trPr>
          <w:trHeight w:hRule="atLeast" w:val="42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10.3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20000">
            <w:pPr>
              <w:ind w:firstLine="0" w:left="0"/>
              <w:jc w:val="left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Налоговые доходы консолидированного бюджета субъекта Российской Федерации всего, в том числе: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млн руб.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421,58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426,52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417,38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20000">
            <w:pPr>
              <w:ind w:firstLine="0" w:left="0"/>
              <w:jc w:val="center"/>
              <w:rPr>
                <w:rFonts w:ascii="XO Thames" w:hAnsi="XO Thames"/>
                <w:b w:val="0"/>
                <w:color w:val="000000"/>
                <w:sz w:val="20"/>
              </w:rPr>
            </w:pPr>
            <w:r>
              <w:rPr>
                <w:rFonts w:ascii="XO Thames" w:hAnsi="XO Thames"/>
                <w:b w:val="0"/>
                <w:color w:val="000000"/>
                <w:sz w:val="20"/>
              </w:rPr>
              <w:t>424,57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20000">
            <w:pPr>
              <w:ind w:firstLine="0" w:left="0"/>
              <w:jc w:val="center"/>
              <w:rPr>
                <w:rFonts w:ascii="XO Thames" w:hAnsi="XO Thames"/>
                <w:b w:val="0"/>
                <w:color w:val="000000"/>
                <w:sz w:val="20"/>
              </w:rPr>
            </w:pPr>
            <w:r>
              <w:rPr>
                <w:rFonts w:ascii="XO Thames" w:hAnsi="XO Thames"/>
                <w:b w:val="0"/>
                <w:color w:val="000000"/>
                <w:sz w:val="20"/>
              </w:rPr>
              <w:t>428,82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430,35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432,82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435,77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437,91</w:t>
            </w:r>
          </w:p>
        </w:tc>
      </w:tr>
      <w:tr>
        <w:trPr>
          <w:trHeight w:hRule="atLeast" w:val="21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10.3.1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20000">
            <w:pPr>
              <w:ind w:firstLine="20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налог на прибыль организаций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млн руб.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20000">
            <w:pPr>
              <w:ind w:firstLine="0" w:left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020000">
            <w:pPr>
              <w:ind w:firstLine="0" w:left="0"/>
              <w:jc w:val="center"/>
              <w:rPr>
                <w:rFonts w:ascii="XO Thames" w:hAnsi="XO Thames"/>
                <w:i w:val="0"/>
                <w:color w:val="000000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20000">
            <w:pPr>
              <w:ind w:firstLine="0" w:left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</w:tr>
      <w:tr>
        <w:trPr>
          <w:trHeight w:hRule="atLeast" w:val="21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10.3.2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20000">
            <w:pPr>
              <w:ind w:firstLine="20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налог на доходы физических лиц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млн руб.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318,64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307,27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295,72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20000">
            <w:pPr>
              <w:ind w:firstLine="0" w:left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297,68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20000">
            <w:pPr>
              <w:ind w:firstLine="0" w:left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301,41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299,78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301,77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300,34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301,95</w:t>
            </w:r>
          </w:p>
        </w:tc>
      </w:tr>
      <w:tr>
        <w:trPr>
          <w:trHeight w:hRule="atLeast" w:val="21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10.3.3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20000">
            <w:pPr>
              <w:ind w:firstLine="20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налог на добычу полезных ископаемых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млн руб.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2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20000">
            <w:pPr>
              <w:ind w:firstLine="0" w:left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20000">
            <w:pPr>
              <w:ind w:firstLine="0" w:left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30000">
            <w:pPr>
              <w:ind w:firstLine="0" w:left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</w:tr>
      <w:tr>
        <w:trPr>
          <w:trHeight w:hRule="atLeast" w:val="21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10.3.4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30000">
            <w:pPr>
              <w:ind w:firstLine="20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акцизы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млн руб.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19,76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21,04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22,00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30000">
            <w:pPr>
              <w:ind w:firstLine="0" w:left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25,05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30000">
            <w:pPr>
              <w:ind w:firstLine="0" w:left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25,05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24,05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24,05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24,06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24,06</w:t>
            </w:r>
          </w:p>
        </w:tc>
      </w:tr>
      <w:tr>
        <w:trPr>
          <w:trHeight w:hRule="atLeast" w:val="42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10.3.5</w:t>
            </w:r>
          </w:p>
        </w:tc>
        <w:tc>
          <w:tcPr>
            <w:tcW w:type="dxa" w:w="3180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auto" w:val="clear"/>
            <w:vAlign w:val="center"/>
          </w:tcPr>
          <w:p w14:paraId="11030000">
            <w:pPr>
              <w:ind w:firstLine="20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type="dxa" w:w="1620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auto" w:val="clear"/>
            <w:vAlign w:val="center"/>
          </w:tcPr>
          <w:p w14:paraId="12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млн руб.</w:t>
            </w:r>
          </w:p>
        </w:tc>
        <w:tc>
          <w:tcPr>
            <w:tcW w:type="dxa" w:w="964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auto" w:val="clear"/>
            <w:vAlign w:val="center"/>
          </w:tcPr>
          <w:p w14:paraId="13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32,08</w:t>
            </w:r>
          </w:p>
        </w:tc>
        <w:tc>
          <w:tcPr>
            <w:tcW w:type="dxa" w:w="964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auto" w:val="clear"/>
            <w:vAlign w:val="center"/>
          </w:tcPr>
          <w:p w14:paraId="14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34,87</w:t>
            </w:r>
          </w:p>
        </w:tc>
        <w:tc>
          <w:tcPr>
            <w:tcW w:type="dxa" w:w="964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auto" w:val="clear"/>
            <w:vAlign w:val="center"/>
          </w:tcPr>
          <w:p w14:paraId="15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38,19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30000">
            <w:pPr>
              <w:ind w:firstLine="0" w:left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38,09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30000">
            <w:pPr>
              <w:ind w:firstLine="0" w:left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38,12</w:t>
            </w:r>
          </w:p>
        </w:tc>
        <w:tc>
          <w:tcPr>
            <w:tcW w:type="dxa" w:w="1134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auto" w:val="clear"/>
            <w:vAlign w:val="center"/>
          </w:tcPr>
          <w:p w14:paraId="18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39,80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auto" w:val="clear"/>
            <w:vAlign w:val="center"/>
          </w:tcPr>
          <w:p w14:paraId="19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39,84</w:t>
            </w:r>
          </w:p>
        </w:tc>
        <w:tc>
          <w:tcPr>
            <w:tcW w:type="dxa" w:w="1134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auto" w:val="clear"/>
            <w:vAlign w:val="center"/>
          </w:tcPr>
          <w:p w14:paraId="1A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41,57</w:t>
            </w:r>
          </w:p>
        </w:tc>
        <w:tc>
          <w:tcPr>
            <w:tcW w:type="dxa" w:w="1134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auto" w:val="clear"/>
            <w:vAlign w:val="center"/>
          </w:tcPr>
          <w:p w14:paraId="1B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41,63</w:t>
            </w:r>
          </w:p>
        </w:tc>
      </w:tr>
      <w:tr>
        <w:trPr>
          <w:trHeight w:hRule="atLeast" w:val="21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10.3.6</w:t>
            </w:r>
          </w:p>
        </w:tc>
        <w:tc>
          <w:tcPr>
            <w:tcW w:type="dxa" w:w="31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30000">
            <w:pPr>
              <w:ind w:firstLine="20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налог на имущество физических лиц</w:t>
            </w:r>
          </w:p>
        </w:tc>
        <w:tc>
          <w:tcPr>
            <w:tcW w:type="dxa" w:w="162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млн руб.</w:t>
            </w:r>
          </w:p>
        </w:tc>
        <w:tc>
          <w:tcPr>
            <w:tcW w:type="dxa" w:w="96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3,33</w:t>
            </w:r>
          </w:p>
        </w:tc>
        <w:tc>
          <w:tcPr>
            <w:tcW w:type="dxa" w:w="96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3,62</w:t>
            </w:r>
          </w:p>
        </w:tc>
        <w:tc>
          <w:tcPr>
            <w:tcW w:type="dxa" w:w="96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4,00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30000">
            <w:pPr>
              <w:ind w:firstLine="0" w:left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4,05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30000">
            <w:pPr>
              <w:ind w:firstLine="0" w:left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4,05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4,22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4,27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4,44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4,48</w:t>
            </w:r>
          </w:p>
        </w:tc>
      </w:tr>
      <w:tr>
        <w:trPr>
          <w:trHeight w:hRule="atLeast" w:val="21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10.3.7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30000">
            <w:pPr>
              <w:ind w:firstLine="20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налог на имущество организаций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млн руб.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30000">
            <w:pPr>
              <w:ind w:firstLine="0" w:left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30000">
            <w:pPr>
              <w:ind w:firstLine="0" w:left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</w:tr>
      <w:tr>
        <w:trPr>
          <w:trHeight w:hRule="atLeast" w:val="215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10.3.8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30000">
            <w:pPr>
              <w:ind w:firstLine="20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налог на игорный бизнес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млн руб.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30000">
            <w:pPr>
              <w:ind w:firstLine="0" w:left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30000">
            <w:pPr>
              <w:ind w:firstLine="0" w:left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</w:tr>
      <w:tr>
        <w:trPr>
          <w:trHeight w:hRule="atLeast" w:val="20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10.3.9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30000">
            <w:pPr>
              <w:ind w:firstLine="20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транспортный налог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млн руб.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12,69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13,93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14,00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30000">
            <w:pPr>
              <w:ind w:firstLine="0" w:left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14,62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30000">
            <w:pPr>
              <w:ind w:firstLine="0" w:left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14,77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15,42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15,47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16,18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16,24</w:t>
            </w:r>
          </w:p>
        </w:tc>
      </w:tr>
      <w:tr>
        <w:trPr>
          <w:trHeight w:hRule="atLeast" w:val="21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10.3.10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30000">
            <w:pPr>
              <w:ind w:firstLine="20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земельный налог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млн руб.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21,06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22,40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23,1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30000">
            <w:pPr>
              <w:ind w:firstLine="0" w:left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24,12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30000">
            <w:pPr>
              <w:ind w:firstLine="0" w:left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24,37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25,44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25,71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26,84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27,13</w:t>
            </w:r>
          </w:p>
        </w:tc>
      </w:tr>
      <w:tr>
        <w:trPr>
          <w:trHeight w:hRule="atLeast" w:val="20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10.4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30000">
            <w:pPr>
              <w:ind w:firstLine="0" w:left="0"/>
              <w:jc w:val="left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Неналоговые доходы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млн руб.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76,64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50,30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43,57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30000">
            <w:pPr>
              <w:ind w:firstLine="0" w:left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41,16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30000">
            <w:pPr>
              <w:ind w:firstLine="0" w:left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41,34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41,35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41,53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41,54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41,73</w:t>
            </w:r>
          </w:p>
        </w:tc>
      </w:tr>
      <w:tr>
        <w:trPr>
          <w:trHeight w:hRule="atLeast" w:val="21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10.5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30000">
            <w:pPr>
              <w:ind w:firstLine="0" w:left="0"/>
              <w:jc w:val="left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Безвозмездные поступления всего, в том числе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млн руб.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2 143,77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1 374,17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1 057,88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30000">
            <w:pPr>
              <w:ind w:firstLine="0" w:left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1 043,53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30000">
            <w:pPr>
              <w:ind w:firstLine="0" w:left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1 043,53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1 042,72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1 042,72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1 042,72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1 042,72</w:t>
            </w:r>
          </w:p>
        </w:tc>
      </w:tr>
      <w:tr>
        <w:trPr>
          <w:trHeight w:hRule="atLeast" w:val="21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10.5.1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30000">
            <w:pPr>
              <w:ind w:firstLine="20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из федерального бюджета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млн руб.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653,49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144,37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124,95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30000">
            <w:pPr>
              <w:ind w:firstLine="0" w:left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89,32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30000">
            <w:pPr>
              <w:ind w:firstLine="0" w:left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89,32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97,14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97,14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97,14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97,14</w:t>
            </w:r>
          </w:p>
        </w:tc>
      </w:tr>
      <w:tr>
        <w:trPr>
          <w:trHeight w:hRule="atLeast" w:val="21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7C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10.5.2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7D030000">
            <w:pPr>
              <w:ind w:firstLine="20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субвенции из федерального бюджета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7E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млн руб.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7F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763,85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80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731,33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81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577,12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82030000">
            <w:pPr>
              <w:ind w:firstLine="0" w:left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598,12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83030000">
            <w:pPr>
              <w:ind w:firstLine="0" w:left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598,12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84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598,12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85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598,12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86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598,12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87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598,12</w:t>
            </w:r>
          </w:p>
        </w:tc>
      </w:tr>
      <w:tr>
        <w:trPr>
          <w:trHeight w:hRule="atLeast" w:val="210"/>
        </w:trPr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88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10.5.3</w:t>
            </w:r>
          </w:p>
        </w:tc>
        <w:tc>
          <w:tcPr>
            <w:tcW w:type="dxa" w:w="31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89030000">
            <w:pPr>
              <w:ind w:firstLine="20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дотации из федерального бюджета, в том числе:</w:t>
            </w:r>
          </w:p>
        </w:tc>
        <w:tc>
          <w:tcPr>
            <w:tcW w:type="dxa" w:w="16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8A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млн руб.</w:t>
            </w:r>
          </w:p>
        </w:tc>
        <w:tc>
          <w:tcPr>
            <w:tcW w:type="dxa" w:w="96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8B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697,64</w:t>
            </w:r>
          </w:p>
        </w:tc>
        <w:tc>
          <w:tcPr>
            <w:tcW w:type="dxa" w:w="96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8C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462,32</w:t>
            </w:r>
          </w:p>
        </w:tc>
        <w:tc>
          <w:tcPr>
            <w:tcW w:type="dxa" w:w="96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8D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318,92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8E030000">
            <w:pPr>
              <w:ind w:firstLine="0" w:left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312,88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8F030000">
            <w:pPr>
              <w:ind w:firstLine="0" w:left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312,88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90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304,25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91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304,25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92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304,25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93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304,25</w:t>
            </w:r>
          </w:p>
        </w:tc>
      </w:tr>
      <w:tr>
        <w:trPr>
          <w:trHeight w:hRule="atLeast" w:val="210"/>
        </w:trPr>
        <w:tc>
          <w:tcPr>
            <w:tcW w:type="dxa" w:w="850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10.5.4</w:t>
            </w:r>
          </w:p>
        </w:tc>
        <w:tc>
          <w:tcPr>
            <w:tcW w:type="dxa" w:w="3180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30000">
            <w:pPr>
              <w:ind w:firstLine="20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дотации на выравнивание бюджетной обеспеченности</w:t>
            </w:r>
          </w:p>
        </w:tc>
        <w:tc>
          <w:tcPr>
            <w:tcW w:type="dxa" w:w="1620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млн руб.</w:t>
            </w:r>
          </w:p>
        </w:tc>
        <w:tc>
          <w:tcPr>
            <w:tcW w:type="dxa" w:w="96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410,37</w:t>
            </w:r>
          </w:p>
        </w:tc>
        <w:tc>
          <w:tcPr>
            <w:tcW w:type="dxa" w:w="96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330,94</w:t>
            </w:r>
          </w:p>
        </w:tc>
        <w:tc>
          <w:tcPr>
            <w:tcW w:type="dxa" w:w="96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314,38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30000">
            <w:pPr>
              <w:ind w:firstLine="0" w:left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312,88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30000">
            <w:pPr>
              <w:ind w:firstLine="0" w:left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312,88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304,25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304,25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304,25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304,25</w:t>
            </w:r>
          </w:p>
        </w:tc>
      </w:tr>
      <w:tr>
        <w:trPr>
          <w:trHeight w:hRule="atLeast" w:val="42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10.6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30000">
            <w:pPr>
              <w:ind w:firstLine="0" w:left="0"/>
              <w:jc w:val="left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Расходы консолидированного бюджета субъекта</w:t>
            </w:r>
            <w:r>
              <w:rPr>
                <w:rFonts w:ascii="XO Thames" w:hAnsi="XO Thames"/>
                <w:i w:val="1"/>
                <w:sz w:val="20"/>
              </w:rPr>
              <w:br/>
            </w:r>
            <w:r>
              <w:rPr>
                <w:rFonts w:ascii="XO Thames" w:hAnsi="XO Thames"/>
                <w:i w:val="1"/>
                <w:sz w:val="20"/>
              </w:rPr>
              <w:t>Российской Федерации всего, в том числе по направлениям: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млн руб.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2 501,71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1 733,85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1 446,40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30000">
            <w:pPr>
              <w:ind w:firstLine="0" w:left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1 387,20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30000">
            <w:pPr>
              <w:ind w:firstLine="0" w:left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1 387,33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1 384,80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1 384,93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1 384,80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1 384,93</w:t>
            </w:r>
          </w:p>
        </w:tc>
      </w:tr>
      <w:tr>
        <w:trPr>
          <w:trHeight w:hRule="atLeast" w:val="20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10.6.1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30000">
            <w:pPr>
              <w:ind w:firstLine="20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общегосударственные вопросы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млн руб.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220,40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132,28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120,35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30000">
            <w:pPr>
              <w:ind w:firstLine="0" w:left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120,50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30000">
            <w:pPr>
              <w:ind w:firstLine="0" w:left="0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120,51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120,50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120,51</w:t>
            </w:r>
          </w:p>
        </w:tc>
        <w:tc>
          <w:tcPr>
            <w:tcW w:type="dxa" w:w="113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120,50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120,51</w:t>
            </w:r>
          </w:p>
        </w:tc>
      </w:tr>
      <w:tr>
        <w:trPr>
          <w:trHeight w:hRule="atLeast" w:val="21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10.6.2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30000">
            <w:pPr>
              <w:ind w:firstLine="20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национальная оборона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млн руб.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1,75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2,05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2,90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3,20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3,21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4,10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4,11</w:t>
            </w:r>
          </w:p>
        </w:tc>
        <w:tc>
          <w:tcPr>
            <w:tcW w:type="dxa" w:w="113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4,10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4,11</w:t>
            </w:r>
          </w:p>
        </w:tc>
      </w:tr>
      <w:tr>
        <w:trPr>
          <w:trHeight w:hRule="atLeast" w:val="221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10.6.3</w:t>
            </w:r>
          </w:p>
        </w:tc>
        <w:tc>
          <w:tcPr>
            <w:tcW w:type="dxa" w:w="3180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auto" w:val="clear"/>
            <w:vAlign w:val="center"/>
          </w:tcPr>
          <w:p w14:paraId="C5030000">
            <w:pPr>
              <w:ind w:firstLine="20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type="dxa" w:w="1620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auto" w:val="clear"/>
            <w:vAlign w:val="center"/>
          </w:tcPr>
          <w:p w14:paraId="C6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млн руб.</w:t>
            </w:r>
          </w:p>
        </w:tc>
        <w:tc>
          <w:tcPr>
            <w:tcW w:type="dxa" w:w="964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auto" w:val="clear"/>
            <w:vAlign w:val="center"/>
          </w:tcPr>
          <w:p w14:paraId="C7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29,18</w:t>
            </w:r>
          </w:p>
        </w:tc>
        <w:tc>
          <w:tcPr>
            <w:tcW w:type="dxa" w:w="964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auto" w:val="clear"/>
            <w:vAlign w:val="center"/>
          </w:tcPr>
          <w:p w14:paraId="C8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19,51</w:t>
            </w:r>
          </w:p>
        </w:tc>
        <w:tc>
          <w:tcPr>
            <w:tcW w:type="dxa" w:w="964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auto" w:val="clear"/>
            <w:vAlign w:val="center"/>
          </w:tcPr>
          <w:p w14:paraId="C9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17,30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auto" w:val="clear"/>
            <w:vAlign w:val="center"/>
          </w:tcPr>
          <w:p w14:paraId="CA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15,80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auto" w:val="clear"/>
            <w:vAlign w:val="center"/>
          </w:tcPr>
          <w:p w14:paraId="CB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15,81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auto" w:val="clear"/>
            <w:vAlign w:val="center"/>
          </w:tcPr>
          <w:p w14:paraId="CC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20,20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auto" w:val="clear"/>
            <w:vAlign w:val="center"/>
          </w:tcPr>
          <w:p w14:paraId="CD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20,21</w:t>
            </w:r>
          </w:p>
        </w:tc>
        <w:tc>
          <w:tcPr>
            <w:tcW w:type="dxa" w:w="113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20,20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sz="4" w:val="nil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20,21</w:t>
            </w:r>
          </w:p>
        </w:tc>
      </w:tr>
      <w:tr>
        <w:trPr>
          <w:trHeight w:hRule="atLeast" w:val="21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10.6.4</w:t>
            </w:r>
          </w:p>
        </w:tc>
        <w:tc>
          <w:tcPr>
            <w:tcW w:type="dxa" w:w="31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30000">
            <w:pPr>
              <w:ind w:firstLine="20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национальная экономика</w:t>
            </w:r>
          </w:p>
        </w:tc>
        <w:tc>
          <w:tcPr>
            <w:tcW w:type="dxa" w:w="162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млн руб.</w:t>
            </w:r>
          </w:p>
        </w:tc>
        <w:tc>
          <w:tcPr>
            <w:tcW w:type="dxa" w:w="96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239,42</w:t>
            </w:r>
          </w:p>
        </w:tc>
        <w:tc>
          <w:tcPr>
            <w:tcW w:type="dxa" w:w="96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171,68</w:t>
            </w:r>
          </w:p>
        </w:tc>
        <w:tc>
          <w:tcPr>
            <w:tcW w:type="dxa" w:w="96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232,62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237,20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237,22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232,20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232,22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232,20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232,22</w:t>
            </w:r>
          </w:p>
        </w:tc>
      </w:tr>
      <w:tr>
        <w:trPr>
          <w:trHeight w:hRule="atLeast" w:val="21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10.6.5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30000">
            <w:pPr>
              <w:ind w:firstLine="20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жилищно-коммунальное хозяйство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млн руб.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680,05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155,55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83,00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60,70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60,71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60,90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60,91</w:t>
            </w:r>
          </w:p>
        </w:tc>
        <w:tc>
          <w:tcPr>
            <w:tcW w:type="dxa" w:w="113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60,90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60,91</w:t>
            </w:r>
          </w:p>
        </w:tc>
      </w:tr>
      <w:tr>
        <w:trPr>
          <w:trHeight w:hRule="atLeast" w:val="21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10.6.6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30000">
            <w:pPr>
              <w:ind w:firstLine="20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охрана окружающей среды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млн руб.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9,84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34,23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20,96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type="dxa" w:w="113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</w:tr>
      <w:tr>
        <w:trPr>
          <w:trHeight w:hRule="atLeast" w:val="21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10.6.7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30000">
            <w:pPr>
              <w:ind w:firstLine="20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образование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млн руб.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823,28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807,45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627,51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612,70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612,72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606,30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606,32</w:t>
            </w:r>
          </w:p>
        </w:tc>
        <w:tc>
          <w:tcPr>
            <w:tcW w:type="dxa" w:w="113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606,30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3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606,32</w:t>
            </w:r>
          </w:p>
        </w:tc>
      </w:tr>
      <w:tr>
        <w:trPr>
          <w:trHeight w:hRule="atLeast" w:val="21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10.6.8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40000">
            <w:pPr>
              <w:ind w:firstLine="20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культура, кинематография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млн руб.</w:t>
            </w:r>
          </w:p>
        </w:tc>
        <w:tc>
          <w:tcPr>
            <w:tcW w:type="dxa" w:w="9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195,75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171,95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144,36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139,20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139,21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139,20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139,21</w:t>
            </w:r>
          </w:p>
        </w:tc>
        <w:tc>
          <w:tcPr>
            <w:tcW w:type="dxa" w:w="113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139,20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139,21</w:t>
            </w:r>
          </w:p>
        </w:tc>
      </w:tr>
      <w:tr>
        <w:trPr>
          <w:trHeight w:hRule="atLeast" w:val="21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10.6.9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40000">
            <w:pPr>
              <w:ind w:firstLine="20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здравоохранение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млн руб.</w:t>
            </w:r>
          </w:p>
        </w:tc>
        <w:tc>
          <w:tcPr>
            <w:tcW w:type="dxa" w:w="96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type="dxa" w:w="113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</w:tr>
      <w:tr>
        <w:trPr>
          <w:trHeight w:hRule="atLeast" w:val="21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10.6.10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40000">
            <w:pPr>
              <w:ind w:firstLine="20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социальная политика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млн руб.</w:t>
            </w:r>
          </w:p>
        </w:tc>
        <w:tc>
          <w:tcPr>
            <w:tcW w:type="dxa" w:w="96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289,80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232,69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191,50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190,80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190,81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194,90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194,91</w:t>
            </w:r>
          </w:p>
        </w:tc>
        <w:tc>
          <w:tcPr>
            <w:tcW w:type="dxa" w:w="113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194,90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194,91</w:t>
            </w:r>
          </w:p>
        </w:tc>
      </w:tr>
      <w:tr>
        <w:trPr>
          <w:trHeight w:hRule="atLeast" w:val="21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10.6.11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40000">
            <w:pPr>
              <w:ind w:firstLine="20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физическая культура и спорт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млн руб.</w:t>
            </w:r>
          </w:p>
        </w:tc>
        <w:tc>
          <w:tcPr>
            <w:tcW w:type="dxa" w:w="96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7,70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1,70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1,50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1,50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1,51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1,50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1,51</w:t>
            </w:r>
          </w:p>
        </w:tc>
        <w:tc>
          <w:tcPr>
            <w:tcW w:type="dxa" w:w="113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1,50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1,51</w:t>
            </w:r>
          </w:p>
        </w:tc>
      </w:tr>
      <w:tr>
        <w:trPr>
          <w:trHeight w:hRule="atLeast" w:val="21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10.6.12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40000">
            <w:pPr>
              <w:ind w:firstLine="20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средства массовой информации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млн руб.</w:t>
            </w:r>
          </w:p>
        </w:tc>
        <w:tc>
          <w:tcPr>
            <w:tcW w:type="dxa" w:w="96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4,54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4,76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3,80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3,80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3,81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3,80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3,81</w:t>
            </w:r>
          </w:p>
        </w:tc>
        <w:tc>
          <w:tcPr>
            <w:tcW w:type="dxa" w:w="113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3,80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3,81</w:t>
            </w:r>
          </w:p>
        </w:tc>
      </w:tr>
      <w:tr>
        <w:trPr>
          <w:trHeight w:hRule="atLeast" w:val="21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10.6.13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40000">
            <w:pPr>
              <w:ind w:firstLine="20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обслуживание государственного и муниципального долга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млн руб.</w:t>
            </w:r>
          </w:p>
        </w:tc>
        <w:tc>
          <w:tcPr>
            <w:tcW w:type="dxa" w:w="96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0,00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0,60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1,80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1,81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1,20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1,21</w:t>
            </w:r>
          </w:p>
        </w:tc>
        <w:tc>
          <w:tcPr>
            <w:tcW w:type="dxa" w:w="113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1,20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1,21</w:t>
            </w:r>
          </w:p>
        </w:tc>
      </w:tr>
      <w:tr>
        <w:trPr>
          <w:trHeight w:hRule="atLeast" w:val="42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10.7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40000">
            <w:pPr>
              <w:ind w:firstLine="0" w:left="0"/>
              <w:jc w:val="left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Дефицит(-), профицит(+) консолидированного бюджета субъекта Российской Федерации, млн рублей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млн руб.</w:t>
            </w:r>
          </w:p>
        </w:tc>
        <w:tc>
          <w:tcPr>
            <w:tcW w:type="dxa" w:w="96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140,28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117,14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72,43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122,06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126,36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129,62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132,14</w:t>
            </w:r>
          </w:p>
        </w:tc>
        <w:tc>
          <w:tcPr>
            <w:tcW w:type="dxa" w:w="113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135,23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137,43</w:t>
            </w:r>
          </w:p>
        </w:tc>
      </w:tr>
      <w:tr>
        <w:trPr>
          <w:trHeight w:hRule="atLeast" w:val="195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54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55040000">
            <w:pPr>
              <w:ind w:firstLine="0" w:left="0"/>
              <w:jc w:val="left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Труд и занятость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56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57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58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59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5A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5B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5C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5D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5E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E2EFDA" w:val="clear"/>
            <w:vAlign w:val="center"/>
          </w:tcPr>
          <w:p w14:paraId="5F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 </w:t>
            </w:r>
          </w:p>
        </w:tc>
      </w:tr>
      <w:tr>
        <w:trPr>
          <w:trHeight w:hRule="atLeast" w:val="42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12.5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40000">
            <w:pPr>
              <w:ind w:firstLine="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Номинальная начисленная среднемесячная заработная плата работников организаций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рублей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51 532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54 839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57 091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58 744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59 480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60 828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61 663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62 966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63 981</w:t>
            </w:r>
          </w:p>
        </w:tc>
      </w:tr>
      <w:tr>
        <w:trPr>
          <w:trHeight w:hRule="atLeast" w:val="42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12.6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40000">
            <w:pPr>
              <w:ind w:firstLine="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Темп роста номинальной начисленной среднемесячной </w:t>
            </w:r>
            <w:r>
              <w:rPr>
                <w:rFonts w:ascii="XO Thames" w:hAnsi="XO Thames"/>
                <w:sz w:val="20"/>
              </w:rPr>
              <w:t>заработной платы работников организаций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% г/г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116,5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106,4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104,1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102,9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104,18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103,55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103,67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103,52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103,76</w:t>
            </w:r>
          </w:p>
        </w:tc>
      </w:tr>
      <w:tr>
        <w:trPr>
          <w:trHeight w:hRule="atLeast" w:val="195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12.9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40000">
            <w:pPr>
              <w:ind w:firstLine="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Реальная заработная плата работников организаций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% г/г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-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-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-</w:t>
            </w:r>
          </w:p>
        </w:tc>
      </w:tr>
      <w:tr>
        <w:trPr>
          <w:trHeight w:hRule="atLeast" w:val="21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84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12.12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85040000">
            <w:pPr>
              <w:ind w:firstLine="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Уровень зарегистрированной безработицы (на конец года)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86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%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87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1,6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88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1,9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89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1,9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FFFFFF" w:val="clear"/>
            <w:vAlign w:val="center"/>
          </w:tcPr>
          <w:p w14:paraId="8A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1,85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8B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1,83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8C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1,83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8D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1,81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8E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1,81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6" w:val="single"/>
              <w:right w:color="000000" w:sz="4" w:val="single"/>
            </w:tcBorders>
            <w:shd w:fill="auto" w:val="clear"/>
            <w:vAlign w:val="center"/>
          </w:tcPr>
          <w:p w14:paraId="8F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1,8</w:t>
            </w:r>
          </w:p>
        </w:tc>
      </w:tr>
      <w:tr>
        <w:trPr>
          <w:trHeight w:hRule="atLeast" w:val="660"/>
        </w:trPr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90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12.14</w:t>
            </w:r>
          </w:p>
        </w:tc>
        <w:tc>
          <w:tcPr>
            <w:tcW w:type="dxa" w:w="31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91040000">
            <w:pPr>
              <w:ind w:firstLine="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Численность безработных, зарегистрированных в государственных учреждениях службы занятости населения (на конец года)</w:t>
            </w:r>
          </w:p>
        </w:tc>
        <w:tc>
          <w:tcPr>
            <w:tcW w:type="dxa" w:w="16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92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тыс. чел.</w:t>
            </w:r>
          </w:p>
        </w:tc>
        <w:tc>
          <w:tcPr>
            <w:tcW w:type="dxa" w:w="96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93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0,188</w:t>
            </w:r>
          </w:p>
        </w:tc>
        <w:tc>
          <w:tcPr>
            <w:tcW w:type="dxa" w:w="96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4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0,249</w:t>
            </w:r>
          </w:p>
        </w:tc>
        <w:tc>
          <w:tcPr>
            <w:tcW w:type="dxa" w:w="96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5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0,240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6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0,238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97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0,235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98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0,232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99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0,230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9A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0,228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vAlign w:val="center"/>
          </w:tcPr>
          <w:p w14:paraId="9B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0,226</w:t>
            </w:r>
          </w:p>
        </w:tc>
      </w:tr>
      <w:tr>
        <w:trPr>
          <w:trHeight w:hRule="atLeast" w:val="480"/>
        </w:trPr>
        <w:tc>
          <w:tcPr>
            <w:tcW w:type="dxa" w:w="850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12.15</w:t>
            </w:r>
          </w:p>
        </w:tc>
        <w:tc>
          <w:tcPr>
            <w:tcW w:type="dxa" w:w="3180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40000">
            <w:pPr>
              <w:ind w:firstLine="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Фонд заработной платы работников организаций</w:t>
            </w:r>
          </w:p>
        </w:tc>
        <w:tc>
          <w:tcPr>
            <w:tcW w:type="dxa" w:w="1620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млн руб.</w:t>
            </w:r>
          </w:p>
        </w:tc>
        <w:tc>
          <w:tcPr>
            <w:tcW w:type="dxa" w:w="96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2 408,60</w:t>
            </w:r>
          </w:p>
        </w:tc>
        <w:tc>
          <w:tcPr>
            <w:tcW w:type="dxa" w:w="96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0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2 615,80</w:t>
            </w:r>
          </w:p>
        </w:tc>
        <w:tc>
          <w:tcPr>
            <w:tcW w:type="dxa" w:w="96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1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2 615,00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2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2 629,38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2 662,34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2 656,96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2 708,23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2 689,92</w:t>
            </w:r>
          </w:p>
        </w:tc>
        <w:tc>
          <w:tcPr>
            <w:tcW w:type="dxa" w:w="1134"/>
            <w:tcBorders>
              <w:top w:color="000000" w:sz="6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2 756,31</w:t>
            </w:r>
          </w:p>
        </w:tc>
      </w:tr>
      <w:tr>
        <w:trPr>
          <w:trHeight w:hRule="atLeast" w:val="210"/>
        </w:trPr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12.16</w:t>
            </w:r>
          </w:p>
        </w:tc>
        <w:tc>
          <w:tcPr>
            <w:tcW w:type="dxa" w:w="31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40000">
            <w:pPr>
              <w:ind w:firstLine="0" w:left="0"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Темп роста фонда заработной платы работников организаций</w:t>
            </w:r>
          </w:p>
        </w:tc>
        <w:tc>
          <w:tcPr>
            <w:tcW w:type="dxa" w:w="16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% г/г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113,2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108,6</w:t>
            </w:r>
          </w:p>
        </w:tc>
        <w:tc>
          <w:tcPr>
            <w:tcW w:type="dxa" w:w="9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99,97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100,55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101,81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101,05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101,72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101,24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40000">
            <w:pPr>
              <w:ind w:firstLine="0" w:lef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101,78</w:t>
            </w:r>
          </w:p>
        </w:tc>
      </w:tr>
    </w:tbl>
    <w:p w14:paraId="B4040000">
      <w:pPr>
        <w:ind w:firstLine="0" w:left="0"/>
        <w:jc w:val="left"/>
        <w:rPr>
          <w:rFonts w:ascii="XO Thames" w:hAnsi="XO Thames"/>
          <w:sz w:val="26"/>
        </w:rPr>
      </w:pPr>
    </w:p>
    <w:sectPr>
      <w:headerReference r:id="rId1" w:type="default"/>
      <w:headerReference r:id="rId2" w:type="first"/>
      <w:pgSz w:h="11908" w:orient="landscape" w:w="16848"/>
      <w:pgMar w:bottom="567" w:footer="709" w:gutter="0" w:header="709" w:left="1134" w:right="1134" w:top="283"/>
      <w:pgNumType w:start="2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ind/>
      <w:jc w:val="center"/>
      <w:rPr>
        <w:rFonts w:ascii="Times New Roman" w:hAnsi="Times New Roman"/>
      </w:rPr>
    </w:pPr>
  </w:p>
  <w:p w14:paraId="04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ind w:firstLine="567" w:left="0"/>
      <w:jc w:val="both"/>
    </w:pPr>
    <w:rPr>
      <w:rFonts w:ascii="Arial" w:hAnsi="Arial"/>
      <w:sz w:val="24"/>
    </w:rPr>
  </w:style>
  <w:style w:default="1" w:styleId="Style_3_ch" w:type="character">
    <w:name w:val="Normal"/>
    <w:link w:val="Style_3"/>
    <w:rPr>
      <w:rFonts w:ascii="Arial" w:hAnsi="Arial"/>
      <w:sz w:val="24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ConsPlusTitle"/>
    <w:link w:val="Style_5_ch"/>
    <w:pPr>
      <w:widowControl w:val="0"/>
      <w:ind/>
    </w:pPr>
    <w:rPr>
      <w:rFonts w:ascii="Arial" w:hAnsi="Arial"/>
      <w:b w:val="1"/>
      <w:sz w:val="20"/>
    </w:rPr>
  </w:style>
  <w:style w:styleId="Style_5_ch" w:type="character">
    <w:name w:val="ConsPlusTitle"/>
    <w:link w:val="Style_5"/>
    <w:rPr>
      <w:rFonts w:ascii="Arial" w:hAnsi="Arial"/>
      <w:b w:val="1"/>
      <w:sz w:val="20"/>
    </w:rPr>
  </w:style>
  <w:style w:styleId="Style_6" w:type="paragraph">
    <w:name w:val="xl85"/>
    <w:basedOn w:val="Style_3"/>
    <w:link w:val="Style_6_ch"/>
    <w:pPr>
      <w:spacing w:afterAutospacing="on" w:beforeAutospacing="on"/>
      <w:ind w:firstLine="0" w:left="0"/>
      <w:jc w:val="center"/>
    </w:pPr>
    <w:rPr>
      <w:rFonts w:ascii="Times New Roman" w:hAnsi="Times New Roman"/>
      <w:sz w:val="13"/>
    </w:rPr>
  </w:style>
  <w:style w:styleId="Style_6_ch" w:type="character">
    <w:name w:val="xl85"/>
    <w:basedOn w:val="Style_3_ch"/>
    <w:link w:val="Style_6"/>
    <w:rPr>
      <w:rFonts w:ascii="Times New Roman" w:hAnsi="Times New Roman"/>
      <w:sz w:val="13"/>
    </w:rPr>
  </w:style>
  <w:style w:styleId="Style_7" w:type="paragraph">
    <w:name w:val="xl70"/>
    <w:basedOn w:val="Style_3"/>
    <w:link w:val="Style_7_ch"/>
    <w:pPr>
      <w:spacing w:afterAutospacing="on" w:beforeAutospacing="on"/>
      <w:ind w:firstLine="0" w:left="0"/>
      <w:jc w:val="center"/>
    </w:pPr>
    <w:rPr>
      <w:rFonts w:ascii="Times New Roman" w:hAnsi="Times New Roman"/>
      <w:sz w:val="13"/>
    </w:rPr>
  </w:style>
  <w:style w:styleId="Style_7_ch" w:type="character">
    <w:name w:val="xl70"/>
    <w:basedOn w:val="Style_3_ch"/>
    <w:link w:val="Style_7"/>
    <w:rPr>
      <w:rFonts w:ascii="Times New Roman" w:hAnsi="Times New Roman"/>
      <w:sz w:val="13"/>
    </w:rPr>
  </w:style>
  <w:style w:styleId="Style_8" w:type="paragraph">
    <w:name w:val="toc 4"/>
    <w:next w:val="Style_3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Body Text"/>
    <w:basedOn w:val="Style_3"/>
    <w:link w:val="Style_9_ch"/>
    <w:rPr>
      <w:rFonts w:ascii="Times New Roman" w:hAnsi="Times New Roman"/>
    </w:rPr>
  </w:style>
  <w:style w:styleId="Style_9_ch" w:type="character">
    <w:name w:val="Body Text"/>
    <w:basedOn w:val="Style_3_ch"/>
    <w:link w:val="Style_9"/>
    <w:rPr>
      <w:rFonts w:ascii="Times New Roman" w:hAnsi="Times New Roman"/>
    </w:rPr>
  </w:style>
  <w:style w:styleId="Style_10" w:type="paragraph">
    <w:name w:val="xl77"/>
    <w:basedOn w:val="Style_3"/>
    <w:link w:val="Style_10_ch"/>
    <w:pPr>
      <w:spacing w:afterAutospacing="on" w:beforeAutospacing="on"/>
      <w:ind w:firstLine="0" w:left="0"/>
      <w:jc w:val="left"/>
    </w:pPr>
    <w:rPr>
      <w:rFonts w:ascii="Times New Roman" w:hAnsi="Times New Roman"/>
      <w:i w:val="1"/>
      <w:sz w:val="13"/>
    </w:rPr>
  </w:style>
  <w:style w:styleId="Style_10_ch" w:type="character">
    <w:name w:val="xl77"/>
    <w:basedOn w:val="Style_3_ch"/>
    <w:link w:val="Style_10"/>
    <w:rPr>
      <w:rFonts w:ascii="Times New Roman" w:hAnsi="Times New Roman"/>
      <w:i w:val="1"/>
      <w:sz w:val="13"/>
    </w:rPr>
  </w:style>
  <w:style w:styleId="Style_11" w:type="paragraph">
    <w:name w:val="xl76"/>
    <w:basedOn w:val="Style_3"/>
    <w:link w:val="Style_11_ch"/>
    <w:pPr>
      <w:spacing w:afterAutospacing="on" w:beforeAutospacing="on"/>
      <w:ind w:firstLine="0" w:left="0"/>
      <w:jc w:val="left"/>
    </w:pPr>
    <w:rPr>
      <w:rFonts w:ascii="Times New Roman" w:hAnsi="Times New Roman"/>
      <w:sz w:val="13"/>
    </w:rPr>
  </w:style>
  <w:style w:styleId="Style_11_ch" w:type="character">
    <w:name w:val="xl76"/>
    <w:basedOn w:val="Style_3_ch"/>
    <w:link w:val="Style_11"/>
    <w:rPr>
      <w:rFonts w:ascii="Times New Roman" w:hAnsi="Times New Roman"/>
      <w:sz w:val="13"/>
    </w:rPr>
  </w:style>
  <w:style w:styleId="Style_12" w:type="paragraph">
    <w:name w:val="toc 6"/>
    <w:next w:val="Style_3"/>
    <w:link w:val="Style_12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2_ch" w:type="character">
    <w:name w:val="toc 6"/>
    <w:link w:val="Style_12"/>
    <w:rPr>
      <w:rFonts w:ascii="XO Thames" w:hAnsi="XO Thames"/>
      <w:sz w:val="28"/>
    </w:rPr>
  </w:style>
  <w:style w:styleId="Style_13" w:type="paragraph">
    <w:name w:val="toc 7"/>
    <w:next w:val="Style_3"/>
    <w:link w:val="Style_13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3_ch" w:type="character">
    <w:name w:val="toc 7"/>
    <w:link w:val="Style_13"/>
    <w:rPr>
      <w:rFonts w:ascii="XO Thames" w:hAnsi="XO Thames"/>
      <w:sz w:val="28"/>
    </w:rPr>
  </w:style>
  <w:style w:styleId="Style_14" w:type="paragraph">
    <w:name w:val="xl83"/>
    <w:basedOn w:val="Style_3"/>
    <w:link w:val="Style_14_ch"/>
    <w:pPr>
      <w:spacing w:afterAutospacing="on" w:beforeAutospacing="on"/>
      <w:ind w:firstLine="0" w:left="0"/>
      <w:jc w:val="left"/>
    </w:pPr>
    <w:rPr>
      <w:rFonts w:ascii="Times New Roman" w:hAnsi="Times New Roman"/>
    </w:rPr>
  </w:style>
  <w:style w:styleId="Style_14_ch" w:type="character">
    <w:name w:val="xl83"/>
    <w:basedOn w:val="Style_3_ch"/>
    <w:link w:val="Style_14"/>
    <w:rPr>
      <w:rFonts w:ascii="Times New Roman" w:hAnsi="Times New Roman"/>
    </w:rPr>
  </w:style>
  <w:style w:styleId="Style_15" w:type="paragraph">
    <w:name w:val="xl96"/>
    <w:basedOn w:val="Style_3"/>
    <w:link w:val="Style_15_ch"/>
    <w:pPr>
      <w:spacing w:afterAutospacing="on" w:beforeAutospacing="on"/>
      <w:ind w:firstLine="0" w:left="0"/>
      <w:jc w:val="center"/>
    </w:pPr>
    <w:rPr>
      <w:rFonts w:ascii="Times New Roman" w:hAnsi="Times New Roman"/>
      <w:sz w:val="13"/>
    </w:rPr>
  </w:style>
  <w:style w:styleId="Style_15_ch" w:type="character">
    <w:name w:val="xl96"/>
    <w:basedOn w:val="Style_3_ch"/>
    <w:link w:val="Style_15"/>
    <w:rPr>
      <w:rFonts w:ascii="Times New Roman" w:hAnsi="Times New Roman"/>
      <w:sz w:val="13"/>
    </w:rPr>
  </w:style>
  <w:style w:styleId="Style_16" w:type="paragraph">
    <w:name w:val="xl75"/>
    <w:basedOn w:val="Style_3"/>
    <w:link w:val="Style_16_ch"/>
    <w:pPr>
      <w:spacing w:afterAutospacing="on" w:beforeAutospacing="on"/>
      <w:ind w:firstLine="0" w:left="0"/>
      <w:jc w:val="left"/>
    </w:pPr>
    <w:rPr>
      <w:rFonts w:ascii="Times New Roman" w:hAnsi="Times New Roman"/>
      <w:sz w:val="13"/>
    </w:rPr>
  </w:style>
  <w:style w:styleId="Style_16_ch" w:type="character">
    <w:name w:val="xl75"/>
    <w:basedOn w:val="Style_3_ch"/>
    <w:link w:val="Style_16"/>
    <w:rPr>
      <w:rFonts w:ascii="Times New Roman" w:hAnsi="Times New Roman"/>
      <w:sz w:val="13"/>
    </w:rPr>
  </w:style>
  <w:style w:styleId="Style_17" w:type="paragraph">
    <w:name w:val="End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Endnote"/>
    <w:link w:val="Style_17"/>
    <w:rPr>
      <w:rFonts w:ascii="XO Thames" w:hAnsi="XO Thames"/>
      <w:sz w:val="22"/>
    </w:rPr>
  </w:style>
  <w:style w:styleId="Style_18" w:type="paragraph">
    <w:name w:val="heading 3"/>
    <w:basedOn w:val="Style_3"/>
    <w:link w:val="Style_18_ch"/>
    <w:uiPriority w:val="9"/>
    <w:qFormat/>
    <w:pPr>
      <w:ind/>
      <w:outlineLvl w:val="2"/>
    </w:pPr>
    <w:rPr>
      <w:b w:val="1"/>
      <w:sz w:val="28"/>
    </w:rPr>
  </w:style>
  <w:style w:styleId="Style_18_ch" w:type="character">
    <w:name w:val="heading 3"/>
    <w:basedOn w:val="Style_3_ch"/>
    <w:link w:val="Style_18"/>
    <w:rPr>
      <w:b w:val="1"/>
      <w:sz w:val="28"/>
    </w:rPr>
  </w:style>
  <w:style w:styleId="Style_19" w:type="paragraph">
    <w:name w:val="FollowedHyperlink"/>
    <w:basedOn w:val="Style_20"/>
    <w:link w:val="Style_19_ch"/>
    <w:rPr>
      <w:color w:val="954F72"/>
      <w:u w:val="single"/>
    </w:rPr>
  </w:style>
  <w:style w:styleId="Style_19_ch" w:type="character">
    <w:name w:val="FollowedHyperlink"/>
    <w:basedOn w:val="Style_20_ch"/>
    <w:link w:val="Style_19"/>
    <w:rPr>
      <w:color w:val="954F72"/>
      <w:u w:val="single"/>
    </w:rPr>
  </w:style>
  <w:style w:styleId="Style_21" w:type="paragraph">
    <w:name w:val="xl71"/>
    <w:basedOn w:val="Style_3"/>
    <w:link w:val="Style_21_ch"/>
    <w:pPr>
      <w:spacing w:afterAutospacing="on" w:beforeAutospacing="on"/>
      <w:ind w:firstLine="0" w:left="0"/>
      <w:jc w:val="center"/>
    </w:pPr>
    <w:rPr>
      <w:rFonts w:ascii="Times New Roman" w:hAnsi="Times New Roman"/>
      <w:sz w:val="13"/>
    </w:rPr>
  </w:style>
  <w:style w:styleId="Style_21_ch" w:type="character">
    <w:name w:val="xl71"/>
    <w:basedOn w:val="Style_3_ch"/>
    <w:link w:val="Style_21"/>
    <w:rPr>
      <w:rFonts w:ascii="Times New Roman" w:hAnsi="Times New Roman"/>
      <w:sz w:val="13"/>
    </w:rPr>
  </w:style>
  <w:style w:styleId="Style_20" w:type="paragraph">
    <w:name w:val="Default Paragraph Font"/>
    <w:link w:val="Style_20_ch"/>
  </w:style>
  <w:style w:styleId="Style_20_ch" w:type="character">
    <w:name w:val="Default Paragraph Font"/>
    <w:link w:val="Style_20"/>
  </w:style>
  <w:style w:styleId="Style_22" w:type="paragraph">
    <w:name w:val="Balloon Text"/>
    <w:basedOn w:val="Style_3"/>
    <w:link w:val="Style_22_ch"/>
    <w:rPr>
      <w:rFonts w:ascii="Tahoma" w:hAnsi="Tahoma"/>
      <w:sz w:val="16"/>
    </w:rPr>
  </w:style>
  <w:style w:styleId="Style_22_ch" w:type="character">
    <w:name w:val="Balloon Text"/>
    <w:basedOn w:val="Style_3_ch"/>
    <w:link w:val="Style_22"/>
    <w:rPr>
      <w:rFonts w:ascii="Tahoma" w:hAnsi="Tahoma"/>
      <w:sz w:val="16"/>
    </w:rPr>
  </w:style>
  <w:style w:styleId="Style_23" w:type="paragraph">
    <w:name w:val="Title!Название НПА"/>
    <w:basedOn w:val="Style_3"/>
    <w:link w:val="Style_23_ch"/>
    <w:pPr>
      <w:spacing w:after="60" w:before="240"/>
      <w:ind/>
      <w:jc w:val="center"/>
      <w:outlineLvl w:val="0"/>
    </w:pPr>
    <w:rPr>
      <w:b w:val="1"/>
      <w:sz w:val="32"/>
    </w:rPr>
  </w:style>
  <w:style w:styleId="Style_23_ch" w:type="character">
    <w:name w:val="Title!Название НПА"/>
    <w:basedOn w:val="Style_3_ch"/>
    <w:link w:val="Style_23"/>
    <w:rPr>
      <w:b w:val="1"/>
      <w:sz w:val="32"/>
    </w:rPr>
  </w:style>
  <w:style w:styleId="Style_24" w:type="paragraph">
    <w:name w:val="xl73"/>
    <w:basedOn w:val="Style_3"/>
    <w:link w:val="Style_24_ch"/>
    <w:pPr>
      <w:spacing w:afterAutospacing="on" w:beforeAutospacing="on"/>
      <w:ind w:firstLine="0" w:left="0"/>
      <w:jc w:val="left"/>
    </w:pPr>
    <w:rPr>
      <w:rFonts w:ascii="Times New Roman" w:hAnsi="Times New Roman"/>
      <w:b w:val="1"/>
      <w:sz w:val="13"/>
    </w:rPr>
  </w:style>
  <w:style w:styleId="Style_24_ch" w:type="character">
    <w:name w:val="xl73"/>
    <w:basedOn w:val="Style_3_ch"/>
    <w:link w:val="Style_24"/>
    <w:rPr>
      <w:rFonts w:ascii="Times New Roman" w:hAnsi="Times New Roman"/>
      <w:b w:val="1"/>
      <w:sz w:val="13"/>
    </w:rPr>
  </w:style>
  <w:style w:styleId="Style_25" w:type="paragraph">
    <w:name w:val="xl87"/>
    <w:basedOn w:val="Style_3"/>
    <w:link w:val="Style_25_ch"/>
    <w:pPr>
      <w:spacing w:afterAutospacing="on" w:beforeAutospacing="on"/>
      <w:ind w:firstLine="0" w:left="0"/>
      <w:jc w:val="center"/>
    </w:pPr>
    <w:rPr>
      <w:rFonts w:ascii="Times New Roman" w:hAnsi="Times New Roman"/>
      <w:sz w:val="13"/>
    </w:rPr>
  </w:style>
  <w:style w:styleId="Style_25_ch" w:type="character">
    <w:name w:val="xl87"/>
    <w:basedOn w:val="Style_3_ch"/>
    <w:link w:val="Style_25"/>
    <w:rPr>
      <w:rFonts w:ascii="Times New Roman" w:hAnsi="Times New Roman"/>
      <w:sz w:val="13"/>
    </w:rPr>
  </w:style>
  <w:style w:styleId="Style_26" w:type="paragraph">
    <w:name w:val="xl72"/>
    <w:basedOn w:val="Style_3"/>
    <w:link w:val="Style_26_ch"/>
    <w:pPr>
      <w:spacing w:afterAutospacing="on" w:beforeAutospacing="on"/>
      <w:ind w:firstLine="0" w:left="0"/>
      <w:jc w:val="center"/>
    </w:pPr>
    <w:rPr>
      <w:rFonts w:ascii="Times New Roman" w:hAnsi="Times New Roman"/>
      <w:sz w:val="13"/>
    </w:rPr>
  </w:style>
  <w:style w:styleId="Style_26_ch" w:type="character">
    <w:name w:val="xl72"/>
    <w:basedOn w:val="Style_3_ch"/>
    <w:link w:val="Style_26"/>
    <w:rPr>
      <w:rFonts w:ascii="Times New Roman" w:hAnsi="Times New Roman"/>
      <w:sz w:val="13"/>
    </w:rPr>
  </w:style>
  <w:style w:styleId="Style_27" w:type="paragraph">
    <w:name w:val="xl69"/>
    <w:basedOn w:val="Style_3"/>
    <w:link w:val="Style_27_ch"/>
    <w:pPr>
      <w:spacing w:afterAutospacing="on" w:beforeAutospacing="on"/>
      <w:ind w:firstLine="0" w:left="0"/>
      <w:jc w:val="center"/>
    </w:pPr>
    <w:rPr>
      <w:rFonts w:ascii="Times New Roman" w:hAnsi="Times New Roman"/>
      <w:sz w:val="13"/>
    </w:rPr>
  </w:style>
  <w:style w:styleId="Style_27_ch" w:type="character">
    <w:name w:val="xl69"/>
    <w:basedOn w:val="Style_3_ch"/>
    <w:link w:val="Style_27"/>
    <w:rPr>
      <w:rFonts w:ascii="Times New Roman" w:hAnsi="Times New Roman"/>
      <w:sz w:val="13"/>
    </w:rPr>
  </w:style>
  <w:style w:styleId="Style_28" w:type="paragraph">
    <w:name w:val="xl86"/>
    <w:basedOn w:val="Style_3"/>
    <w:link w:val="Style_28_ch"/>
    <w:pPr>
      <w:spacing w:afterAutospacing="on" w:beforeAutospacing="on"/>
      <w:ind w:firstLine="0" w:left="0"/>
      <w:jc w:val="center"/>
    </w:pPr>
    <w:rPr>
      <w:rFonts w:ascii="Times New Roman" w:hAnsi="Times New Roman"/>
      <w:sz w:val="13"/>
    </w:rPr>
  </w:style>
  <w:style w:styleId="Style_28_ch" w:type="character">
    <w:name w:val="xl86"/>
    <w:basedOn w:val="Style_3_ch"/>
    <w:link w:val="Style_28"/>
    <w:rPr>
      <w:rFonts w:ascii="Times New Roman" w:hAnsi="Times New Roman"/>
      <w:sz w:val="13"/>
    </w:rPr>
  </w:style>
  <w:style w:styleId="Style_29" w:type="paragraph">
    <w:name w:val="annotation text"/>
    <w:basedOn w:val="Style_3"/>
    <w:link w:val="Style_29_ch"/>
    <w:rPr>
      <w:rFonts w:ascii="Courier" w:hAnsi="Courier"/>
      <w:sz w:val="22"/>
    </w:rPr>
  </w:style>
  <w:style w:styleId="Style_29_ch" w:type="character">
    <w:name w:val="annotation text"/>
    <w:basedOn w:val="Style_3_ch"/>
    <w:link w:val="Style_29"/>
    <w:rPr>
      <w:rFonts w:ascii="Courier" w:hAnsi="Courier"/>
      <w:sz w:val="22"/>
    </w:rPr>
  </w:style>
  <w:style w:styleId="Style_30" w:type="paragraph">
    <w:name w:val="xl74"/>
    <w:basedOn w:val="Style_3"/>
    <w:link w:val="Style_30_ch"/>
    <w:pPr>
      <w:spacing w:afterAutospacing="on" w:beforeAutospacing="on"/>
      <w:ind w:firstLine="0" w:left="0"/>
      <w:jc w:val="left"/>
    </w:pPr>
    <w:rPr>
      <w:rFonts w:ascii="Times New Roman" w:hAnsi="Times New Roman"/>
      <w:sz w:val="13"/>
    </w:rPr>
  </w:style>
  <w:style w:styleId="Style_30_ch" w:type="character">
    <w:name w:val="xl74"/>
    <w:basedOn w:val="Style_3_ch"/>
    <w:link w:val="Style_30"/>
    <w:rPr>
      <w:rFonts w:ascii="Times New Roman" w:hAnsi="Times New Roman"/>
      <w:sz w:val="13"/>
    </w:rPr>
  </w:style>
  <w:style w:styleId="Style_31" w:type="paragraph">
    <w:name w:val="xl67"/>
    <w:basedOn w:val="Style_3"/>
    <w:link w:val="Style_31_ch"/>
    <w:pPr>
      <w:spacing w:afterAutospacing="on" w:beforeAutospacing="on"/>
      <w:ind w:firstLine="0" w:left="0"/>
      <w:jc w:val="center"/>
    </w:pPr>
    <w:rPr>
      <w:rFonts w:ascii="Times New Roman" w:hAnsi="Times New Roman"/>
      <w:sz w:val="13"/>
    </w:rPr>
  </w:style>
  <w:style w:styleId="Style_31_ch" w:type="character">
    <w:name w:val="xl67"/>
    <w:basedOn w:val="Style_3_ch"/>
    <w:link w:val="Style_31"/>
    <w:rPr>
      <w:rFonts w:ascii="Times New Roman" w:hAnsi="Times New Roman"/>
      <w:sz w:val="13"/>
    </w:rPr>
  </w:style>
  <w:style w:styleId="Style_32" w:type="paragraph">
    <w:name w:val="WW8Num4z2"/>
    <w:link w:val="Style_32_ch"/>
    <w:rPr>
      <w:rFonts w:ascii="Wingdings" w:hAnsi="Wingdings"/>
    </w:rPr>
  </w:style>
  <w:style w:styleId="Style_32_ch" w:type="character">
    <w:name w:val="WW8Num4z2"/>
    <w:link w:val="Style_32"/>
    <w:rPr>
      <w:rFonts w:ascii="Wingdings" w:hAnsi="Wingdings"/>
    </w:rPr>
  </w:style>
  <w:style w:styleId="Style_33" w:type="paragraph">
    <w:name w:val="toc 3"/>
    <w:next w:val="Style_3"/>
    <w:link w:val="Style_3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33_ch" w:type="character">
    <w:name w:val="toc 3"/>
    <w:link w:val="Style_33"/>
    <w:rPr>
      <w:rFonts w:ascii="XO Thames" w:hAnsi="XO Thames"/>
      <w:sz w:val="28"/>
    </w:rPr>
  </w:style>
  <w:style w:styleId="Style_34" w:type="paragraph">
    <w:name w:val="List Paragraph"/>
    <w:basedOn w:val="Style_3"/>
    <w:link w:val="Style_34_ch"/>
    <w:pPr>
      <w:ind w:firstLine="0" w:left="720"/>
      <w:contextualSpacing w:val="1"/>
    </w:pPr>
  </w:style>
  <w:style w:styleId="Style_34_ch" w:type="character">
    <w:name w:val="List Paragraph"/>
    <w:basedOn w:val="Style_3_ch"/>
    <w:link w:val="Style_34"/>
  </w:style>
  <w:style w:styleId="Style_35" w:type="paragraph">
    <w:name w:val="xl93"/>
    <w:basedOn w:val="Style_3"/>
    <w:link w:val="Style_35_ch"/>
    <w:pPr>
      <w:spacing w:afterAutospacing="on" w:beforeAutospacing="on"/>
      <w:ind w:firstLine="0" w:left="0"/>
      <w:jc w:val="center"/>
    </w:pPr>
    <w:rPr>
      <w:rFonts w:ascii="Times New Roman" w:hAnsi="Times New Roman"/>
      <w:sz w:val="13"/>
    </w:rPr>
  </w:style>
  <w:style w:styleId="Style_35_ch" w:type="character">
    <w:name w:val="xl93"/>
    <w:basedOn w:val="Style_3_ch"/>
    <w:link w:val="Style_35"/>
    <w:rPr>
      <w:rFonts w:ascii="Times New Roman" w:hAnsi="Times New Roman"/>
      <w:sz w:val="13"/>
    </w:rPr>
  </w:style>
  <w:style w:styleId="Style_36" w:type="paragraph">
    <w:name w:val="heading 5"/>
    <w:basedOn w:val="Style_3"/>
    <w:next w:val="Style_3"/>
    <w:link w:val="Style_36_ch"/>
    <w:uiPriority w:val="9"/>
    <w:qFormat/>
    <w:pPr>
      <w:keepNext w:val="1"/>
      <w:keepLines w:val="1"/>
      <w:spacing w:before="40"/>
      <w:ind/>
      <w:outlineLvl w:val="4"/>
    </w:pPr>
    <w:rPr>
      <w:rFonts w:asciiTheme="majorAscii" w:hAnsiTheme="majorHAnsi"/>
      <w:color w:themeColor="accent1" w:themeShade="BF" w:val="376092"/>
    </w:rPr>
  </w:style>
  <w:style w:styleId="Style_36_ch" w:type="character">
    <w:name w:val="heading 5"/>
    <w:basedOn w:val="Style_3_ch"/>
    <w:link w:val="Style_36"/>
    <w:rPr>
      <w:rFonts w:asciiTheme="majorAscii" w:hAnsiTheme="majorHAnsi"/>
      <w:color w:themeColor="accent1" w:themeShade="BF" w:val="376092"/>
    </w:rPr>
  </w:style>
  <w:style w:styleId="Style_37" w:type="paragraph">
    <w:name w:val="xl84"/>
    <w:basedOn w:val="Style_3"/>
    <w:link w:val="Style_37_ch"/>
    <w:pPr>
      <w:spacing w:afterAutospacing="on" w:beforeAutospacing="on"/>
      <w:ind w:firstLine="0" w:left="0"/>
      <w:jc w:val="center"/>
    </w:pPr>
    <w:rPr>
      <w:rFonts w:ascii="Times New Roman" w:hAnsi="Times New Roman"/>
      <w:sz w:val="13"/>
    </w:rPr>
  </w:style>
  <w:style w:styleId="Style_37_ch" w:type="character">
    <w:name w:val="xl84"/>
    <w:basedOn w:val="Style_3_ch"/>
    <w:link w:val="Style_37"/>
    <w:rPr>
      <w:rFonts w:ascii="Times New Roman" w:hAnsi="Times New Roman"/>
      <w:sz w:val="13"/>
    </w:rPr>
  </w:style>
  <w:style w:styleId="Style_1" w:type="paragraph">
    <w:name w:val="header"/>
    <w:basedOn w:val="Style_3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3_ch"/>
    <w:link w:val="Style_1"/>
  </w:style>
  <w:style w:styleId="Style_38" w:type="paragraph">
    <w:name w:val="xl82"/>
    <w:basedOn w:val="Style_3"/>
    <w:link w:val="Style_38_ch"/>
    <w:pPr>
      <w:spacing w:afterAutospacing="on" w:beforeAutospacing="on"/>
      <w:ind w:firstLine="0" w:left="0"/>
      <w:jc w:val="left"/>
    </w:pPr>
    <w:rPr>
      <w:rFonts w:ascii="Times New Roman" w:hAnsi="Times New Roman"/>
      <w:sz w:val="13"/>
    </w:rPr>
  </w:style>
  <w:style w:styleId="Style_38_ch" w:type="character">
    <w:name w:val="xl82"/>
    <w:basedOn w:val="Style_3_ch"/>
    <w:link w:val="Style_38"/>
    <w:rPr>
      <w:rFonts w:ascii="Times New Roman" w:hAnsi="Times New Roman"/>
      <w:sz w:val="13"/>
    </w:rPr>
  </w:style>
  <w:style w:styleId="Style_39" w:type="paragraph">
    <w:name w:val="heading 1"/>
    <w:basedOn w:val="Style_3"/>
    <w:next w:val="Style_3"/>
    <w:link w:val="Style_39_ch"/>
    <w:uiPriority w:val="9"/>
    <w:qFormat/>
    <w:pPr>
      <w:ind/>
      <w:jc w:val="center"/>
      <w:outlineLvl w:val="0"/>
    </w:pPr>
    <w:rPr>
      <w:b w:val="1"/>
      <w:sz w:val="32"/>
    </w:rPr>
  </w:style>
  <w:style w:styleId="Style_39_ch" w:type="character">
    <w:name w:val="heading 1"/>
    <w:basedOn w:val="Style_3_ch"/>
    <w:link w:val="Style_39"/>
    <w:rPr>
      <w:b w:val="1"/>
      <w:sz w:val="32"/>
    </w:rPr>
  </w:style>
  <w:style w:styleId="Style_40" w:type="paragraph">
    <w:name w:val="Table!Таблица"/>
    <w:link w:val="Style_40_ch"/>
    <w:rPr>
      <w:rFonts w:ascii="Arial" w:hAnsi="Arial"/>
      <w:sz w:val="24"/>
    </w:rPr>
  </w:style>
  <w:style w:styleId="Style_40_ch" w:type="character">
    <w:name w:val="Table!Таблица"/>
    <w:link w:val="Style_40"/>
    <w:rPr>
      <w:rFonts w:ascii="Arial" w:hAnsi="Arial"/>
      <w:sz w:val="24"/>
    </w:rPr>
  </w:style>
  <w:style w:styleId="Style_41" w:type="paragraph">
    <w:name w:val="Table!"/>
    <w:next w:val="Style_40"/>
    <w:link w:val="Style_41_ch"/>
    <w:pPr>
      <w:ind/>
      <w:jc w:val="center"/>
    </w:pPr>
    <w:rPr>
      <w:rFonts w:ascii="Arial" w:hAnsi="Arial"/>
      <w:b w:val="1"/>
      <w:sz w:val="24"/>
    </w:rPr>
  </w:style>
  <w:style w:styleId="Style_41_ch" w:type="character">
    <w:name w:val="Table!"/>
    <w:link w:val="Style_41"/>
    <w:rPr>
      <w:rFonts w:ascii="Arial" w:hAnsi="Arial"/>
      <w:b w:val="1"/>
      <w:sz w:val="24"/>
    </w:rPr>
  </w:style>
  <w:style w:styleId="Style_42" w:type="paragraph">
    <w:name w:val="xl88"/>
    <w:basedOn w:val="Style_3"/>
    <w:link w:val="Style_42_ch"/>
    <w:pPr>
      <w:spacing w:afterAutospacing="on" w:beforeAutospacing="on"/>
      <w:ind w:firstLine="0" w:left="0"/>
      <w:jc w:val="center"/>
    </w:pPr>
    <w:rPr>
      <w:rFonts w:ascii="Times New Roman" w:hAnsi="Times New Roman"/>
    </w:rPr>
  </w:style>
  <w:style w:styleId="Style_42_ch" w:type="character">
    <w:name w:val="xl88"/>
    <w:basedOn w:val="Style_3_ch"/>
    <w:link w:val="Style_42"/>
    <w:rPr>
      <w:rFonts w:ascii="Times New Roman" w:hAnsi="Times New Roman"/>
    </w:rPr>
  </w:style>
  <w:style w:styleId="Style_43" w:type="paragraph">
    <w:name w:val="Normal (Web)"/>
    <w:basedOn w:val="Style_3"/>
    <w:link w:val="Style_43_ch"/>
    <w:pPr>
      <w:spacing w:afterAutospacing="on" w:beforeAutospacing="on"/>
      <w:ind w:firstLine="0" w:left="0"/>
      <w:jc w:val="left"/>
    </w:pPr>
    <w:rPr>
      <w:rFonts w:ascii="Times New Roman" w:hAnsi="Times New Roman"/>
    </w:rPr>
  </w:style>
  <w:style w:styleId="Style_43_ch" w:type="character">
    <w:name w:val="Normal (Web)"/>
    <w:basedOn w:val="Style_3_ch"/>
    <w:link w:val="Style_43"/>
    <w:rPr>
      <w:rFonts w:ascii="Times New Roman" w:hAnsi="Times New Roman"/>
    </w:rPr>
  </w:style>
  <w:style w:styleId="Style_44" w:type="paragraph">
    <w:name w:val="Подзаголовок Знак1"/>
    <w:basedOn w:val="Style_20"/>
    <w:link w:val="Style_44_ch"/>
    <w:rPr>
      <w:rFonts w:asciiTheme="minorAscii" w:hAnsiTheme="minorHAnsi"/>
      <w:color w:themeColor="text1" w:themeTint="A5" w:val="595959"/>
      <w:spacing w:val="15"/>
    </w:rPr>
  </w:style>
  <w:style w:styleId="Style_44_ch" w:type="character">
    <w:name w:val="Подзаголовок Знак1"/>
    <w:basedOn w:val="Style_20_ch"/>
    <w:link w:val="Style_44"/>
    <w:rPr>
      <w:rFonts w:asciiTheme="minorAscii" w:hAnsiTheme="minorHAnsi"/>
      <w:color w:themeColor="text1" w:themeTint="A5" w:val="595959"/>
      <w:spacing w:val="15"/>
    </w:rPr>
  </w:style>
  <w:style w:styleId="Style_45" w:type="paragraph">
    <w:name w:val="Hyperlink"/>
    <w:basedOn w:val="Style_20"/>
    <w:link w:val="Style_45_ch"/>
    <w:rPr>
      <w:color w:val="0000FF"/>
      <w:u w:val="none"/>
    </w:rPr>
  </w:style>
  <w:style w:styleId="Style_45_ch" w:type="character">
    <w:name w:val="Hyperlink"/>
    <w:basedOn w:val="Style_20_ch"/>
    <w:link w:val="Style_45"/>
    <w:rPr>
      <w:color w:val="0000FF"/>
      <w:u w:val="none"/>
    </w:rPr>
  </w:style>
  <w:style w:styleId="Style_46" w:type="paragraph">
    <w:name w:val="Footnote"/>
    <w:link w:val="Style_46_ch"/>
    <w:pPr>
      <w:ind w:firstLine="851" w:left="0"/>
      <w:jc w:val="both"/>
    </w:pPr>
    <w:rPr>
      <w:rFonts w:ascii="XO Thames" w:hAnsi="XO Thames"/>
      <w:sz w:val="22"/>
    </w:rPr>
  </w:style>
  <w:style w:styleId="Style_46_ch" w:type="character">
    <w:name w:val="Footnote"/>
    <w:link w:val="Style_46"/>
    <w:rPr>
      <w:rFonts w:ascii="XO Thames" w:hAnsi="XO Thames"/>
      <w:sz w:val="22"/>
    </w:rPr>
  </w:style>
  <w:style w:styleId="Style_47" w:type="paragraph">
    <w:name w:val="toc 1"/>
    <w:next w:val="Style_3"/>
    <w:link w:val="Style_4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47_ch" w:type="character">
    <w:name w:val="toc 1"/>
    <w:link w:val="Style_47"/>
    <w:rPr>
      <w:rFonts w:ascii="XO Thames" w:hAnsi="XO Thames"/>
      <w:b w:val="1"/>
      <w:sz w:val="28"/>
    </w:rPr>
  </w:style>
  <w:style w:styleId="Style_48" w:type="paragraph">
    <w:name w:val="xl66"/>
    <w:basedOn w:val="Style_3"/>
    <w:link w:val="Style_48_ch"/>
    <w:pPr>
      <w:spacing w:afterAutospacing="on" w:beforeAutospacing="on"/>
      <w:ind w:firstLine="0" w:left="0"/>
      <w:jc w:val="left"/>
    </w:pPr>
    <w:rPr>
      <w:rFonts w:ascii="Times New Roman" w:hAnsi="Times New Roman"/>
      <w:sz w:val="14"/>
    </w:rPr>
  </w:style>
  <w:style w:styleId="Style_48_ch" w:type="character">
    <w:name w:val="xl66"/>
    <w:basedOn w:val="Style_3_ch"/>
    <w:link w:val="Style_48"/>
    <w:rPr>
      <w:rFonts w:ascii="Times New Roman" w:hAnsi="Times New Roman"/>
      <w:sz w:val="14"/>
    </w:rPr>
  </w:style>
  <w:style w:styleId="Style_49" w:type="paragraph">
    <w:name w:val="Header and Footer"/>
    <w:link w:val="Style_49_ch"/>
    <w:pPr>
      <w:spacing w:line="240" w:lineRule="auto"/>
      <w:ind/>
      <w:jc w:val="both"/>
    </w:pPr>
    <w:rPr>
      <w:rFonts w:ascii="XO Thames" w:hAnsi="XO Thames"/>
      <w:sz w:val="28"/>
    </w:rPr>
  </w:style>
  <w:style w:styleId="Style_49_ch" w:type="character">
    <w:name w:val="Header and Footer"/>
    <w:link w:val="Style_49"/>
    <w:rPr>
      <w:rFonts w:ascii="XO Thames" w:hAnsi="XO Thames"/>
      <w:sz w:val="28"/>
    </w:rPr>
  </w:style>
  <w:style w:styleId="Style_50" w:type="paragraph">
    <w:name w:val="HTML Variable"/>
    <w:basedOn w:val="Style_20"/>
    <w:link w:val="Style_50_ch"/>
    <w:rPr>
      <w:rFonts w:ascii="Arial" w:hAnsi="Arial"/>
      <w:color w:val="0000FF"/>
      <w:sz w:val="24"/>
      <w:u w:val="none"/>
    </w:rPr>
  </w:style>
  <w:style w:styleId="Style_50_ch" w:type="character">
    <w:name w:val="HTML Variable"/>
    <w:basedOn w:val="Style_20_ch"/>
    <w:link w:val="Style_50"/>
    <w:rPr>
      <w:rFonts w:ascii="Arial" w:hAnsi="Arial"/>
      <w:color w:val="0000FF"/>
      <w:sz w:val="24"/>
      <w:u w:val="none"/>
    </w:rPr>
  </w:style>
  <w:style w:styleId="Style_51" w:type="paragraph">
    <w:name w:val="toc 9"/>
    <w:next w:val="Style_3"/>
    <w:link w:val="Style_5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51_ch" w:type="character">
    <w:name w:val="toc 9"/>
    <w:link w:val="Style_51"/>
    <w:rPr>
      <w:rFonts w:ascii="XO Thames" w:hAnsi="XO Thames"/>
      <w:sz w:val="28"/>
    </w:rPr>
  </w:style>
  <w:style w:styleId="Style_52" w:type="paragraph">
    <w:name w:val="xl97"/>
    <w:basedOn w:val="Style_3"/>
    <w:link w:val="Style_52_ch"/>
    <w:pPr>
      <w:spacing w:afterAutospacing="on" w:beforeAutospacing="on"/>
      <w:ind w:firstLine="0" w:left="0"/>
      <w:jc w:val="center"/>
    </w:pPr>
    <w:rPr>
      <w:rFonts w:ascii="Times New Roman" w:hAnsi="Times New Roman"/>
    </w:rPr>
  </w:style>
  <w:style w:styleId="Style_52_ch" w:type="character">
    <w:name w:val="xl97"/>
    <w:basedOn w:val="Style_3_ch"/>
    <w:link w:val="Style_52"/>
    <w:rPr>
      <w:rFonts w:ascii="Times New Roman" w:hAnsi="Times New Roman"/>
    </w:rPr>
  </w:style>
  <w:style w:styleId="Style_53" w:type="paragraph">
    <w:name w:val="xl90"/>
    <w:basedOn w:val="Style_3"/>
    <w:link w:val="Style_53_ch"/>
    <w:pPr>
      <w:spacing w:afterAutospacing="on" w:beforeAutospacing="on"/>
      <w:ind w:firstLine="0" w:left="0"/>
      <w:jc w:val="center"/>
    </w:pPr>
    <w:rPr>
      <w:rFonts w:ascii="Times New Roman" w:hAnsi="Times New Roman"/>
      <w:sz w:val="13"/>
    </w:rPr>
  </w:style>
  <w:style w:styleId="Style_53_ch" w:type="character">
    <w:name w:val="xl90"/>
    <w:basedOn w:val="Style_3_ch"/>
    <w:link w:val="Style_53"/>
    <w:rPr>
      <w:rFonts w:ascii="Times New Roman" w:hAnsi="Times New Roman"/>
      <w:sz w:val="13"/>
    </w:rPr>
  </w:style>
  <w:style w:styleId="Style_54" w:type="paragraph">
    <w:name w:val="xl78"/>
    <w:basedOn w:val="Style_3"/>
    <w:link w:val="Style_54_ch"/>
    <w:pPr>
      <w:spacing w:afterAutospacing="on" w:beforeAutospacing="on"/>
      <w:ind w:firstLine="0" w:left="0"/>
      <w:jc w:val="left"/>
    </w:pPr>
    <w:rPr>
      <w:rFonts w:ascii="Times New Roman" w:hAnsi="Times New Roman"/>
      <w:i w:val="1"/>
      <w:sz w:val="13"/>
    </w:rPr>
  </w:style>
  <w:style w:styleId="Style_54_ch" w:type="character">
    <w:name w:val="xl78"/>
    <w:basedOn w:val="Style_3_ch"/>
    <w:link w:val="Style_54"/>
    <w:rPr>
      <w:rFonts w:ascii="Times New Roman" w:hAnsi="Times New Roman"/>
      <w:i w:val="1"/>
      <w:sz w:val="13"/>
    </w:rPr>
  </w:style>
  <w:style w:styleId="Style_55" w:type="paragraph">
    <w:name w:val="xl98"/>
    <w:basedOn w:val="Style_3"/>
    <w:link w:val="Style_55_ch"/>
    <w:pPr>
      <w:spacing w:afterAutospacing="on" w:beforeAutospacing="on"/>
      <w:ind w:firstLine="0" w:left="0"/>
      <w:jc w:val="center"/>
    </w:pPr>
    <w:rPr>
      <w:rFonts w:ascii="Times New Roman" w:hAnsi="Times New Roman"/>
    </w:rPr>
  </w:style>
  <w:style w:styleId="Style_55_ch" w:type="character">
    <w:name w:val="xl98"/>
    <w:basedOn w:val="Style_3_ch"/>
    <w:link w:val="Style_55"/>
    <w:rPr>
      <w:rFonts w:ascii="Times New Roman" w:hAnsi="Times New Roman"/>
    </w:rPr>
  </w:style>
  <w:style w:styleId="Style_56" w:type="paragraph">
    <w:name w:val="xl94"/>
    <w:basedOn w:val="Style_3"/>
    <w:link w:val="Style_56_ch"/>
    <w:pPr>
      <w:spacing w:afterAutospacing="on" w:beforeAutospacing="on"/>
      <w:ind w:firstLine="0" w:left="0"/>
      <w:jc w:val="center"/>
    </w:pPr>
    <w:rPr>
      <w:rFonts w:ascii="Times New Roman" w:hAnsi="Times New Roman"/>
      <w:sz w:val="13"/>
    </w:rPr>
  </w:style>
  <w:style w:styleId="Style_56_ch" w:type="character">
    <w:name w:val="xl94"/>
    <w:basedOn w:val="Style_3_ch"/>
    <w:link w:val="Style_56"/>
    <w:rPr>
      <w:rFonts w:ascii="Times New Roman" w:hAnsi="Times New Roman"/>
      <w:sz w:val="13"/>
    </w:rPr>
  </w:style>
  <w:style w:styleId="Style_57" w:type="paragraph">
    <w:name w:val="List Paragraph1"/>
    <w:basedOn w:val="Style_3"/>
    <w:link w:val="Style_57_ch"/>
    <w:pPr>
      <w:ind w:firstLine="0" w:left="720"/>
    </w:pPr>
  </w:style>
  <w:style w:styleId="Style_57_ch" w:type="character">
    <w:name w:val="List Paragraph1"/>
    <w:basedOn w:val="Style_3_ch"/>
    <w:link w:val="Style_57"/>
  </w:style>
  <w:style w:styleId="Style_58" w:type="paragraph">
    <w:name w:val="toc 8"/>
    <w:next w:val="Style_3"/>
    <w:link w:val="Style_5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58_ch" w:type="character">
    <w:name w:val="toc 8"/>
    <w:link w:val="Style_58"/>
    <w:rPr>
      <w:rFonts w:ascii="XO Thames" w:hAnsi="XO Thames"/>
      <w:sz w:val="28"/>
    </w:rPr>
  </w:style>
  <w:style w:styleId="Style_59" w:type="paragraph">
    <w:name w:val="toc 5"/>
    <w:next w:val="Style_3"/>
    <w:link w:val="Style_5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59_ch" w:type="character">
    <w:name w:val="toc 5"/>
    <w:link w:val="Style_59"/>
    <w:rPr>
      <w:rFonts w:ascii="XO Thames" w:hAnsi="XO Thames"/>
      <w:sz w:val="28"/>
    </w:rPr>
  </w:style>
  <w:style w:styleId="Style_60" w:type="paragraph">
    <w:name w:val="xl95"/>
    <w:basedOn w:val="Style_3"/>
    <w:link w:val="Style_60_ch"/>
    <w:pPr>
      <w:spacing w:afterAutospacing="on" w:beforeAutospacing="on"/>
      <w:ind w:firstLine="0" w:left="0"/>
      <w:jc w:val="center"/>
    </w:pPr>
    <w:rPr>
      <w:rFonts w:ascii="Times New Roman" w:hAnsi="Times New Roman"/>
      <w:sz w:val="13"/>
    </w:rPr>
  </w:style>
  <w:style w:styleId="Style_60_ch" w:type="character">
    <w:name w:val="xl95"/>
    <w:basedOn w:val="Style_3_ch"/>
    <w:link w:val="Style_60"/>
    <w:rPr>
      <w:rFonts w:ascii="Times New Roman" w:hAnsi="Times New Roman"/>
      <w:sz w:val="13"/>
    </w:rPr>
  </w:style>
  <w:style w:styleId="Style_61" w:type="paragraph">
    <w:name w:val="xl68"/>
    <w:basedOn w:val="Style_3"/>
    <w:link w:val="Style_61_ch"/>
    <w:pPr>
      <w:spacing w:afterAutospacing="on" w:beforeAutospacing="on"/>
      <w:ind w:firstLine="0" w:left="0"/>
      <w:jc w:val="center"/>
    </w:pPr>
    <w:rPr>
      <w:rFonts w:ascii="Times New Roman" w:hAnsi="Times New Roman"/>
      <w:sz w:val="13"/>
    </w:rPr>
  </w:style>
  <w:style w:styleId="Style_61_ch" w:type="character">
    <w:name w:val="xl68"/>
    <w:basedOn w:val="Style_3_ch"/>
    <w:link w:val="Style_61"/>
    <w:rPr>
      <w:rFonts w:ascii="Times New Roman" w:hAnsi="Times New Roman"/>
      <w:sz w:val="13"/>
    </w:rPr>
  </w:style>
  <w:style w:styleId="Style_62" w:type="paragraph">
    <w:name w:val="footer"/>
    <w:basedOn w:val="Style_3"/>
    <w:link w:val="Style_62_ch"/>
    <w:pPr>
      <w:tabs>
        <w:tab w:leader="none" w:pos="4677" w:val="center"/>
        <w:tab w:leader="none" w:pos="9355" w:val="right"/>
      </w:tabs>
      <w:ind/>
    </w:pPr>
  </w:style>
  <w:style w:styleId="Style_62_ch" w:type="character">
    <w:name w:val="footer"/>
    <w:basedOn w:val="Style_3_ch"/>
    <w:link w:val="Style_62"/>
  </w:style>
  <w:style w:styleId="Style_63" w:type="paragraph">
    <w:name w:val="Subtitle"/>
    <w:basedOn w:val="Style_3"/>
    <w:link w:val="Style_63_ch"/>
    <w:uiPriority w:val="11"/>
    <w:qFormat/>
    <w:pPr>
      <w:spacing w:before="240"/>
      <w:ind/>
      <w:jc w:val="center"/>
    </w:pPr>
    <w:rPr>
      <w:b w:val="1"/>
      <w:sz w:val="32"/>
    </w:rPr>
  </w:style>
  <w:style w:styleId="Style_63_ch" w:type="character">
    <w:name w:val="Subtitle"/>
    <w:basedOn w:val="Style_3_ch"/>
    <w:link w:val="Style_63"/>
    <w:rPr>
      <w:b w:val="1"/>
      <w:sz w:val="32"/>
    </w:rPr>
  </w:style>
  <w:style w:styleId="Style_64" w:type="paragraph">
    <w:name w:val="xl81"/>
    <w:basedOn w:val="Style_3"/>
    <w:link w:val="Style_64_ch"/>
    <w:pPr>
      <w:spacing w:afterAutospacing="on" w:beforeAutospacing="on"/>
      <w:ind w:firstLine="0" w:left="0"/>
      <w:jc w:val="left"/>
    </w:pPr>
    <w:rPr>
      <w:rFonts w:ascii="Times New Roman" w:hAnsi="Times New Roman"/>
      <w:sz w:val="13"/>
    </w:rPr>
  </w:style>
  <w:style w:styleId="Style_64_ch" w:type="character">
    <w:name w:val="xl81"/>
    <w:basedOn w:val="Style_3_ch"/>
    <w:link w:val="Style_64"/>
    <w:rPr>
      <w:rFonts w:ascii="Times New Roman" w:hAnsi="Times New Roman"/>
      <w:sz w:val="13"/>
    </w:rPr>
  </w:style>
  <w:style w:styleId="Style_65" w:type="paragraph">
    <w:name w:val="Application!Приложение"/>
    <w:link w:val="Style_65_ch"/>
    <w:pPr>
      <w:spacing w:after="120" w:before="120"/>
      <w:ind/>
      <w:jc w:val="right"/>
    </w:pPr>
    <w:rPr>
      <w:rFonts w:ascii="Arial" w:hAnsi="Arial"/>
      <w:b w:val="1"/>
      <w:sz w:val="32"/>
    </w:rPr>
  </w:style>
  <w:style w:styleId="Style_65_ch" w:type="character">
    <w:name w:val="Application!Приложение"/>
    <w:link w:val="Style_65"/>
    <w:rPr>
      <w:rFonts w:ascii="Arial" w:hAnsi="Arial"/>
      <w:b w:val="1"/>
      <w:sz w:val="32"/>
    </w:rPr>
  </w:style>
  <w:style w:styleId="Style_66" w:type="paragraph">
    <w:name w:val="Title"/>
    <w:next w:val="Style_3"/>
    <w:link w:val="Style_6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66_ch" w:type="character">
    <w:name w:val="Title"/>
    <w:link w:val="Style_66"/>
    <w:rPr>
      <w:rFonts w:ascii="XO Thames" w:hAnsi="XO Thames"/>
      <w:b w:val="1"/>
      <w:caps w:val="1"/>
      <w:sz w:val="40"/>
    </w:rPr>
  </w:style>
  <w:style w:styleId="Style_67" w:type="paragraph">
    <w:name w:val="heading 4"/>
    <w:basedOn w:val="Style_3"/>
    <w:link w:val="Style_67_ch"/>
    <w:uiPriority w:val="9"/>
    <w:qFormat/>
    <w:pPr>
      <w:ind/>
      <w:outlineLvl w:val="3"/>
    </w:pPr>
    <w:rPr>
      <w:b w:val="1"/>
      <w:sz w:val="26"/>
    </w:rPr>
  </w:style>
  <w:style w:styleId="Style_67_ch" w:type="character">
    <w:name w:val="heading 4"/>
    <w:basedOn w:val="Style_3_ch"/>
    <w:link w:val="Style_67"/>
    <w:rPr>
      <w:b w:val="1"/>
      <w:sz w:val="26"/>
    </w:rPr>
  </w:style>
  <w:style w:styleId="Style_68" w:type="paragraph">
    <w:name w:val="xl91"/>
    <w:basedOn w:val="Style_3"/>
    <w:link w:val="Style_68_ch"/>
    <w:pPr>
      <w:spacing w:afterAutospacing="on" w:beforeAutospacing="on"/>
      <w:ind w:firstLine="0" w:left="0"/>
      <w:jc w:val="center"/>
    </w:pPr>
    <w:rPr>
      <w:rFonts w:ascii="Times New Roman" w:hAnsi="Times New Roman"/>
      <w:sz w:val="13"/>
    </w:rPr>
  </w:style>
  <w:style w:styleId="Style_68_ch" w:type="character">
    <w:name w:val="xl91"/>
    <w:basedOn w:val="Style_3_ch"/>
    <w:link w:val="Style_68"/>
    <w:rPr>
      <w:rFonts w:ascii="Times New Roman" w:hAnsi="Times New Roman"/>
      <w:sz w:val="13"/>
    </w:rPr>
  </w:style>
  <w:style w:styleId="Style_69" w:type="paragraph">
    <w:name w:val="xl80"/>
    <w:basedOn w:val="Style_3"/>
    <w:link w:val="Style_69_ch"/>
    <w:pPr>
      <w:spacing w:afterAutospacing="on" w:beforeAutospacing="on"/>
      <w:ind w:firstLine="0" w:left="0"/>
      <w:jc w:val="left"/>
    </w:pPr>
    <w:rPr>
      <w:rFonts w:ascii="Times New Roman" w:hAnsi="Times New Roman"/>
      <w:sz w:val="13"/>
    </w:rPr>
  </w:style>
  <w:style w:styleId="Style_69_ch" w:type="character">
    <w:name w:val="xl80"/>
    <w:basedOn w:val="Style_3_ch"/>
    <w:link w:val="Style_69"/>
    <w:rPr>
      <w:rFonts w:ascii="Times New Roman" w:hAnsi="Times New Roman"/>
      <w:sz w:val="13"/>
    </w:rPr>
  </w:style>
  <w:style w:styleId="Style_70" w:type="paragraph">
    <w:name w:val="heading 2"/>
    <w:basedOn w:val="Style_3"/>
    <w:link w:val="Style_70_ch"/>
    <w:uiPriority w:val="9"/>
    <w:qFormat/>
    <w:pPr>
      <w:ind/>
      <w:jc w:val="center"/>
      <w:outlineLvl w:val="1"/>
    </w:pPr>
    <w:rPr>
      <w:b w:val="1"/>
      <w:sz w:val="30"/>
    </w:rPr>
  </w:style>
  <w:style w:styleId="Style_70_ch" w:type="character">
    <w:name w:val="heading 2"/>
    <w:basedOn w:val="Style_3_ch"/>
    <w:link w:val="Style_70"/>
    <w:rPr>
      <w:b w:val="1"/>
      <w:sz w:val="30"/>
    </w:rPr>
  </w:style>
  <w:style w:styleId="Style_71" w:type="paragraph">
    <w:name w:val="xl92"/>
    <w:basedOn w:val="Style_3"/>
    <w:link w:val="Style_71_ch"/>
    <w:pPr>
      <w:spacing w:afterAutospacing="on" w:beforeAutospacing="on"/>
      <w:ind w:firstLine="0" w:left="0"/>
      <w:jc w:val="center"/>
    </w:pPr>
    <w:rPr>
      <w:rFonts w:ascii="Times New Roman" w:hAnsi="Times New Roman"/>
      <w:sz w:val="13"/>
    </w:rPr>
  </w:style>
  <w:style w:styleId="Style_71_ch" w:type="character">
    <w:name w:val="xl92"/>
    <w:basedOn w:val="Style_3_ch"/>
    <w:link w:val="Style_71"/>
    <w:rPr>
      <w:rFonts w:ascii="Times New Roman" w:hAnsi="Times New Roman"/>
      <w:sz w:val="13"/>
    </w:rPr>
  </w:style>
  <w:style w:styleId="Style_72" w:type="paragraph">
    <w:name w:val="Body Text 2"/>
    <w:basedOn w:val="Style_3"/>
    <w:link w:val="Style_72_ch"/>
    <w:pPr>
      <w:spacing w:after="120" w:line="480" w:lineRule="auto"/>
      <w:ind/>
    </w:pPr>
  </w:style>
  <w:style w:styleId="Style_72_ch" w:type="character">
    <w:name w:val="Body Text 2"/>
    <w:basedOn w:val="Style_3_ch"/>
    <w:link w:val="Style_72"/>
  </w:style>
  <w:style w:styleId="Style_73" w:type="paragraph">
    <w:name w:val="xl79"/>
    <w:basedOn w:val="Style_3"/>
    <w:link w:val="Style_73_ch"/>
    <w:pPr>
      <w:spacing w:afterAutospacing="on" w:beforeAutospacing="on"/>
      <w:ind w:firstLine="0" w:left="0"/>
      <w:jc w:val="left"/>
    </w:pPr>
    <w:rPr>
      <w:rFonts w:ascii="Times New Roman" w:hAnsi="Times New Roman"/>
      <w:b w:val="1"/>
      <w:sz w:val="13"/>
    </w:rPr>
  </w:style>
  <w:style w:styleId="Style_73_ch" w:type="character">
    <w:name w:val="xl79"/>
    <w:basedOn w:val="Style_3_ch"/>
    <w:link w:val="Style_73"/>
    <w:rPr>
      <w:rFonts w:ascii="Times New Roman" w:hAnsi="Times New Roman"/>
      <w:b w:val="1"/>
      <w:sz w:val="13"/>
    </w:rPr>
  </w:style>
  <w:style w:styleId="Style_74" w:type="paragraph">
    <w:name w:val="xl89"/>
    <w:basedOn w:val="Style_3"/>
    <w:link w:val="Style_74_ch"/>
    <w:pPr>
      <w:spacing w:afterAutospacing="on" w:beforeAutospacing="on"/>
      <w:ind w:firstLine="0" w:left="0"/>
      <w:jc w:val="center"/>
    </w:pPr>
    <w:rPr>
      <w:rFonts w:ascii="Times New Roman" w:hAnsi="Times New Roman"/>
      <w:sz w:val="13"/>
    </w:rPr>
  </w:style>
  <w:style w:styleId="Style_74_ch" w:type="character">
    <w:name w:val="xl89"/>
    <w:basedOn w:val="Style_3_ch"/>
    <w:link w:val="Style_74"/>
    <w:rPr>
      <w:rFonts w:ascii="Times New Roman" w:hAnsi="Times New Roman"/>
      <w:sz w:val="13"/>
    </w:rPr>
  </w:style>
  <w:style w:styleId="Style_75" w:type="table">
    <w:name w:val="Table Grid"/>
    <w:basedOn w:val="Style_2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76" w:type="table">
    <w:name w:val="Table List 3"/>
    <w:basedOn w:val="Style_2"/>
    <w:rPr>
      <w:sz w:val="20"/>
    </w:rPr>
    <w:tblPr>
      <w:tblBorders>
        <w:top w:color="000000" w:sz="12" w:val="single"/>
        <w:bottom w:color="000000" w:sz="12" w:val="single"/>
        <w:insideH w:color="000000" w:sz="6" w:val="single"/>
      </w:tblBorders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2026-07-20T07:09:56Z</dcterms:modified>
</cp:coreProperties>
</file>