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5040"/>
        <w:jc w:val="right"/>
        <w:rPr>
          <w:rFonts w:ascii="XO Thames" w:hAnsi="XO Thames"/>
          <w:sz w:val="28"/>
        </w:rPr>
      </w:pPr>
      <w:bookmarkStart w:id="1" w:name="_GoBack"/>
      <w:bookmarkEnd w:id="1"/>
      <w:r>
        <w:rPr>
          <w:rFonts w:ascii="XO Thames" w:hAnsi="XO Thames"/>
          <w:sz w:val="28"/>
        </w:rPr>
        <w:t>Приложение к постановлению</w:t>
      </w:r>
    </w:p>
    <w:p w14:paraId="04000000">
      <w:pPr>
        <w:ind w:firstLine="0" w:left="504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Крапивинского </w:t>
      </w:r>
    </w:p>
    <w:p w14:paraId="05000000">
      <w:pPr>
        <w:ind w:firstLine="0" w:left="504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</w:t>
      </w:r>
    </w:p>
    <w:p w14:paraId="0600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«24» июля 2025</w:t>
      </w:r>
      <w:r>
        <w:rPr>
          <w:rFonts w:ascii="XO Thames" w:hAnsi="XO Thames"/>
          <w:sz w:val="28"/>
        </w:rPr>
        <w:t xml:space="preserve"> № 842</w:t>
      </w:r>
    </w:p>
    <w:p w14:paraId="07000000">
      <w:pPr>
        <w:pStyle w:val="Style_2"/>
        <w:tabs>
          <w:tab w:leader="none" w:pos="9214" w:val="left"/>
        </w:tabs>
        <w:ind w:firstLine="0" w:left="3969"/>
        <w:jc w:val="center"/>
        <w:rPr>
          <w:rFonts w:ascii="XO Thames" w:hAnsi="XO Thames"/>
          <w:b w:val="1"/>
        </w:rPr>
      </w:pPr>
    </w:p>
    <w:p w14:paraId="08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План мероприятий </w:t>
      </w:r>
    </w:p>
    <w:p w14:paraId="09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по реализации П</w:t>
      </w:r>
      <w:r>
        <w:rPr>
          <w:rFonts w:ascii="XO Thames" w:hAnsi="XO Thames"/>
          <w:b w:val="1"/>
          <w:sz w:val="28"/>
        </w:rPr>
        <w:t xml:space="preserve">рограммы </w:t>
      </w:r>
      <w:r>
        <w:rPr>
          <w:rFonts w:ascii="XO Thames" w:hAnsi="XO Thames"/>
          <w:b w:val="1"/>
          <w:sz w:val="28"/>
        </w:rPr>
        <w:t xml:space="preserve">повышения финансовой </w:t>
      </w:r>
    </w:p>
    <w:p w14:paraId="0A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грамотности населения Кузбасса на территории Крапивинского муниципального округа</w:t>
      </w:r>
    </w:p>
    <w:p w14:paraId="0B000000">
      <w:pPr>
        <w:spacing w:line="276" w:lineRule="auto"/>
        <w:ind/>
        <w:jc w:val="center"/>
        <w:rPr>
          <w:rFonts w:ascii="XO Thames" w:hAnsi="XO Thames"/>
          <w:b w:val="1"/>
          <w:sz w:val="28"/>
        </w:rPr>
      </w:pPr>
    </w:p>
    <w:p w14:paraId="0C000000">
      <w:pPr>
        <w:spacing w:line="12" w:lineRule="auto"/>
        <w:ind/>
        <w:rPr>
          <w:rFonts w:ascii="XO Thames" w:hAnsi="XO Thames"/>
        </w:rPr>
      </w:pPr>
    </w:p>
    <w:tbl>
      <w:tblPr>
        <w:tblStyle w:val="Style_3"/>
        <w:tblW w:type="auto" w:w="0"/>
        <w:tblInd w:type="dxa" w:w="7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6070"/>
        <w:gridCol w:w="5812"/>
        <w:gridCol w:w="1701"/>
      </w:tblGrid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  <w:p w14:paraId="0E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п/п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Мероприятия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Ответственные исполнители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Срок реализации</w:t>
            </w:r>
          </w:p>
        </w:tc>
      </w:tr>
    </w:tbl>
    <w:p w14:paraId="12000000">
      <w:pPr>
        <w:rPr>
          <w:rFonts w:ascii="XO Thames" w:hAnsi="XO Thames"/>
          <w:sz w:val="2"/>
        </w:rPr>
      </w:pPr>
    </w:p>
    <w:tbl>
      <w:tblPr>
        <w:tblStyle w:val="Style_3"/>
        <w:tblW w:type="auto" w:w="0"/>
        <w:tblInd w:type="dxa" w:w="7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6070"/>
        <w:gridCol w:w="5812"/>
        <w:gridCol w:w="1701"/>
      </w:tblGrid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</w:tr>
      <w:tr>
        <w:tc>
          <w:tcPr>
            <w:tcW w:type="dxa" w:w="144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numPr>
                <w:ilvl w:val="0"/>
                <w:numId w:val="1"/>
              </w:numPr>
              <w:tabs>
                <w:tab w:leader="none" w:pos="255" w:val="left"/>
                <w:tab w:leader="none" w:pos="450" w:val="left"/>
              </w:tabs>
              <w:ind w:firstLine="138" w:left="-138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Формирование кадрового потенциала в сфере финансовой грамотности</w:t>
            </w:r>
          </w:p>
        </w:tc>
      </w:tr>
      <w:tr>
        <w:trPr>
          <w:trHeight w:hRule="atLeast" w:val="71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1.1</w:t>
            </w:r>
          </w:p>
          <w:p w14:paraId="19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  <w:p w14:paraId="1A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  <w:p w14:paraId="1B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  <w:p w14:paraId="1C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Повышение квалификации </w:t>
            </w:r>
            <w:r>
              <w:rPr>
                <w:rFonts w:ascii="XO Thames" w:hAnsi="XO Thames"/>
                <w:sz w:val="28"/>
              </w:rPr>
              <w:t xml:space="preserve">и профессиональная переподготовка </w:t>
            </w:r>
            <w:r>
              <w:rPr>
                <w:rFonts w:ascii="XO Thames" w:hAnsi="XO Thames"/>
                <w:sz w:val="28"/>
              </w:rPr>
              <w:t xml:space="preserve">педагогических работников </w:t>
            </w:r>
            <w:r>
              <w:rPr>
                <w:rFonts w:ascii="XO Thames" w:hAnsi="XO Thames"/>
                <w:sz w:val="28"/>
              </w:rPr>
              <w:t xml:space="preserve">и преподавателей </w:t>
            </w:r>
            <w:r>
              <w:rPr>
                <w:rFonts w:ascii="XO Thames" w:hAnsi="XO Thames"/>
                <w:sz w:val="28"/>
              </w:rPr>
              <w:t>образовательных организаций</w:t>
            </w:r>
            <w:r>
              <w:rPr>
                <w:rFonts w:ascii="XO Thames" w:hAnsi="XO Thames"/>
                <w:sz w:val="28"/>
              </w:rPr>
              <w:t>,</w:t>
            </w:r>
            <w:r>
              <w:rPr>
                <w:rFonts w:ascii="XO Thames" w:hAnsi="XO Thames"/>
                <w:sz w:val="28"/>
              </w:rPr>
              <w:t xml:space="preserve"> специалистов дополнительного образования</w:t>
            </w:r>
            <w:r>
              <w:rPr>
                <w:rFonts w:ascii="XO Thames" w:hAnsi="XO Thames"/>
                <w:sz w:val="28"/>
              </w:rPr>
              <w:t xml:space="preserve">, сотрудников </w:t>
            </w:r>
            <w:r>
              <w:rPr>
                <w:rFonts w:ascii="XO Thames" w:hAnsi="XO Thames"/>
                <w:sz w:val="28"/>
              </w:rPr>
              <w:t>органов местного самоуправления, органов социальной защиты населения и ин</w:t>
            </w:r>
            <w:r>
              <w:rPr>
                <w:rFonts w:ascii="XO Thames" w:hAnsi="XO Thames"/>
                <w:sz w:val="28"/>
              </w:rPr>
              <w:t>ых специалистов в области финансового просвещения, в том числе путем взаимодействия с федеральными методическими центрами повышения финансовой грамотности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Администрация Крапивинского муниципального округа; </w:t>
            </w:r>
          </w:p>
          <w:p w14:paraId="1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Управление образования администрации Крапивинского муниципального округа и подведомственные учреждения; </w:t>
            </w:r>
          </w:p>
          <w:p w14:paraId="2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Управление социальной защиты населения администрации Крапивинского муниципального округа и подведомственные учреждения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  <w:p w14:paraId="22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  <w:p w14:paraId="23000000">
            <w:pPr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1.2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Реализация проекта </w:t>
            </w:r>
            <w:r>
              <w:rPr>
                <w:rFonts w:ascii="XO Thames" w:hAnsi="XO Thames"/>
                <w:sz w:val="28"/>
              </w:rPr>
              <w:t>«Школа волонтеров финансового просвещения» с целью формирования корпуса волонтеров финансового просвещения для организации и проведения мероприятий по финансовой грамотности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Администрация Крапивинского муниципального округа; </w:t>
            </w:r>
          </w:p>
          <w:p w14:paraId="27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Управление образования администрации Крапивинского муниципального округа и подведомственные учреждения; </w:t>
            </w:r>
          </w:p>
          <w:p w14:paraId="2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Управление социальной защиты населения администрации Крапивинского муниципального округа; </w:t>
            </w:r>
          </w:p>
          <w:p w14:paraId="2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Муниципальное бюджетное учреждение «Комплексный центр социального обслуживания населения» Крапивинского муниципального округа; </w:t>
            </w:r>
          </w:p>
          <w:p w14:paraId="2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Государственное казенное учреждение «Крапивинский социально-реабилитационный центр для несовершеннолетних»</w:t>
            </w:r>
            <w:r>
              <w:rPr>
                <w:rFonts w:ascii="XO Thames" w:hAnsi="XO Thames"/>
                <w:sz w:val="28"/>
              </w:rPr>
              <w:t xml:space="preserve">; </w:t>
            </w:r>
          </w:p>
          <w:p w14:paraId="2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Управление культуры, молодежной политики, спорта и туризма администрации Крапивинского муниципального округа и подведомственные учреждения; </w:t>
            </w:r>
            <w:r>
              <w:rPr>
                <w:rFonts w:ascii="XO Thames" w:hAnsi="XO Thames"/>
                <w:b w:val="0"/>
                <w:sz w:val="28"/>
              </w:rPr>
              <w:t xml:space="preserve">Муниципальное казенное учреждение </w:t>
            </w:r>
            <w:r>
              <w:rPr>
                <w:rFonts w:ascii="XO Thames" w:hAnsi="XO Thames"/>
                <w:b w:val="0"/>
                <w:sz w:val="28"/>
              </w:rPr>
              <w:t>«</w:t>
            </w:r>
            <w:r>
              <w:rPr>
                <w:rFonts w:ascii="XO Thames" w:hAnsi="XO Thames"/>
                <w:b w:val="0"/>
                <w:sz w:val="28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XO Thames" w:hAnsi="XO Thames"/>
                <w:b w:val="0"/>
                <w:sz w:val="28"/>
              </w:rPr>
              <w:t xml:space="preserve">Крапивинского муниципального округа»; </w:t>
            </w:r>
          </w:p>
          <w:p w14:paraId="2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Муниципальное бюджетное учреждение «Автохозяйство Крапивинского муниципального округа»; </w:t>
            </w:r>
          </w:p>
          <w:p w14:paraId="2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Муниципальное казенное учреждение «Территориальное управление администрации Крапивинского муниципального округа»; Муниципальное бюджетное учреждение «Медиа-центр Крапивинского муниципального округа»; </w:t>
            </w:r>
          </w:p>
          <w:p w14:paraId="2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Муниципальное казенное учреждение «Единая дежурно-диспетчерская служба» Крапивинского муниципального округа</w:t>
            </w:r>
          </w:p>
          <w:p w14:paraId="2F000000">
            <w:pPr>
              <w:rPr>
                <w:rFonts w:ascii="XO Thames" w:hAnsi="XO Thames"/>
                <w:sz w:val="28"/>
              </w:rPr>
            </w:pPr>
          </w:p>
          <w:p w14:paraId="30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  <w:p w14:paraId="32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54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1.3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Привлечение специалистов </w:t>
            </w:r>
            <w:r>
              <w:rPr>
                <w:rFonts w:ascii="XO Thames" w:hAnsi="XO Thames"/>
                <w:sz w:val="28"/>
              </w:rPr>
              <w:t>–</w:t>
            </w:r>
            <w:r>
              <w:rPr>
                <w:rFonts w:ascii="XO Thames" w:hAnsi="XO Thames"/>
                <w:sz w:val="28"/>
              </w:rPr>
              <w:t xml:space="preserve"> экспертов финансового рынка и территориальных подразделений федеральных структур в качестве спикеров мероприятий по финансовой грамотности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Администрация Крапивинского муниципального округа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</w:tc>
      </w:tr>
      <w:tr>
        <w:trPr>
          <w:trHeight w:hRule="atLeast" w:val="779"/>
        </w:trPr>
        <w:tc>
          <w:tcPr>
            <w:tcW w:type="dxa" w:w="144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numPr>
                <w:ilvl w:val="0"/>
                <w:numId w:val="1"/>
              </w:numPr>
              <w:ind w:hanging="360" w:left="720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Создание постоянно действующей системы просвещения по вопросам функционирования </w:t>
            </w:r>
          </w:p>
          <w:p w14:paraId="38000000">
            <w:pPr>
              <w:ind w:firstLine="0" w:left="0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финансовых инструментов и механизмов</w:t>
            </w:r>
          </w:p>
        </w:tc>
      </w:tr>
      <w:tr>
        <w:trPr>
          <w:trHeight w:hRule="atLeast" w:val="1063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  <w:r>
              <w:rPr>
                <w:rFonts w:ascii="XO Thames" w:hAnsi="XO Thames"/>
                <w:sz w:val="28"/>
              </w:rPr>
              <w:t>.1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Организация участия и проведение для обучающихся образовательных организаций мероприятий по финансовой грамотности в различных форматах (открытых уроков, лекций, практических занятий, игр, викторин, вебинаров, </w:t>
            </w:r>
            <w:r>
              <w:rPr>
                <w:rFonts w:ascii="XO Thames" w:hAnsi="XO Thames"/>
                <w:sz w:val="28"/>
              </w:rPr>
              <w:t xml:space="preserve">олимпиад, </w:t>
            </w:r>
            <w:r>
              <w:rPr>
                <w:rFonts w:ascii="XO Thames" w:hAnsi="XO Thames"/>
                <w:sz w:val="28"/>
              </w:rPr>
              <w:t xml:space="preserve">онлайн-уроков Банка России) </w:t>
            </w:r>
          </w:p>
          <w:p w14:paraId="3B000000">
            <w:pPr>
              <w:rPr>
                <w:rFonts w:ascii="XO Thames" w:hAnsi="XO Thames"/>
                <w:sz w:val="28"/>
              </w:rPr>
            </w:pPr>
          </w:p>
          <w:p w14:paraId="3C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Администрация Крапивинского муниципального округа; </w:t>
            </w:r>
          </w:p>
          <w:p w14:paraId="3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Управление образования администрации Крапивинского муниципального округа и подведомственные учреждения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</w:tc>
      </w:tr>
      <w:tr>
        <w:trPr>
          <w:trHeight w:hRule="atLeast" w:val="809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  <w:r>
              <w:rPr>
                <w:rFonts w:ascii="XO Thames" w:hAnsi="XO Thames"/>
                <w:sz w:val="28"/>
              </w:rPr>
              <w:t>.</w:t>
            </w: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Реализация информационно-просветительского проекта «Финансовый экспресс» с приоритетным направлением формирования финансовой, в том числе инвестиционной, культуры граждан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Администрация Крапивинского муниципального округа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</w:tc>
      </w:tr>
      <w:tr>
        <w:trPr>
          <w:trHeight w:hRule="atLeast" w:val="809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2.3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Включение информационно-просветительской работы по повышению финансовой грамотности граждан (уголки финансовой грамотности, ярмарки, фестивали и т.д.) в </w:t>
            </w:r>
            <w:r>
              <w:rPr>
                <w:rFonts w:ascii="XO Thames" w:hAnsi="XO Thames"/>
                <w:sz w:val="28"/>
              </w:rPr>
              <w:t xml:space="preserve">различные </w:t>
            </w:r>
            <w:r>
              <w:rPr>
                <w:rFonts w:ascii="XO Thames" w:hAnsi="XO Thames"/>
                <w:sz w:val="28"/>
              </w:rPr>
              <w:t>региональные и муниципальные мероприятия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Администрация Крапивинского муниципального округа; </w:t>
            </w:r>
          </w:p>
          <w:p w14:paraId="47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Управление образования администрации Крапивинского муниципального округа и подведомственные учреждения; </w:t>
            </w:r>
          </w:p>
          <w:p w14:paraId="4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Управление социальной защиты населения администрации Крапивинского муниципального округа; </w:t>
            </w:r>
          </w:p>
          <w:p w14:paraId="4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округа;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4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Государственное казенное учреждение «Крапивинский социально-реабилитационный центр для несовершеннолетних»;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4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Управление культуры, молодежной политики, спорта и туризма администрации Крапивинского муниципального округа </w:t>
            </w:r>
            <w:r>
              <w:rPr>
                <w:rFonts w:ascii="XO Thames" w:hAnsi="XO Thames"/>
                <w:sz w:val="28"/>
              </w:rPr>
              <w:t>и подведомственные учреждения</w:t>
            </w:r>
            <w:r>
              <w:rPr>
                <w:rFonts w:ascii="XO Thames" w:hAnsi="XO Thames"/>
                <w:sz w:val="28"/>
              </w:rPr>
              <w:t xml:space="preserve">; </w:t>
            </w:r>
            <w:r>
              <w:rPr>
                <w:rFonts w:ascii="XO Thames" w:hAnsi="XO Thames"/>
                <w:b w:val="0"/>
                <w:sz w:val="28"/>
              </w:rPr>
              <w:t xml:space="preserve">Муниципальное казенное учреждение </w:t>
            </w:r>
            <w:r>
              <w:rPr>
                <w:rFonts w:ascii="XO Thames" w:hAnsi="XO Thames"/>
                <w:b w:val="0"/>
                <w:sz w:val="28"/>
              </w:rPr>
              <w:t>«</w:t>
            </w:r>
            <w:r>
              <w:rPr>
                <w:rFonts w:ascii="XO Thames" w:hAnsi="XO Thames"/>
                <w:b w:val="0"/>
                <w:sz w:val="28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XO Thames" w:hAnsi="XO Thames"/>
                <w:b w:val="0"/>
                <w:sz w:val="28"/>
              </w:rPr>
              <w:t xml:space="preserve">Крапивинского муниципального округа»; </w:t>
            </w:r>
          </w:p>
          <w:p w14:paraId="4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Муниципальное бюджетное учреждение «Автохозяйство Крапивинского муниципального округа»; </w:t>
            </w:r>
          </w:p>
          <w:p w14:paraId="4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Муниципальное казенное учреждение «Территориальное управление администрации Крапивинского муниципального округа»; Муниципальное бюджетное учреждение «Медиа-центр Крапивинского муниципального округа»; </w:t>
            </w:r>
          </w:p>
          <w:p w14:paraId="4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Муниципальное казенное учреждение «Единая дежурно-диспетчерская служба» Крапивинского муниципального округа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  <w:p w14:paraId="50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  <w:p w14:paraId="51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809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2.4</w:t>
            </w:r>
          </w:p>
          <w:p w14:paraId="53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Проведение работы по о</w:t>
            </w:r>
            <w:r>
              <w:rPr>
                <w:rFonts w:ascii="XO Thames" w:hAnsi="XO Thames"/>
                <w:sz w:val="28"/>
              </w:rPr>
              <w:t>беспечени</w:t>
            </w:r>
            <w:r>
              <w:rPr>
                <w:rFonts w:ascii="XO Thames" w:hAnsi="XO Thames"/>
                <w:sz w:val="28"/>
              </w:rPr>
              <w:t>ю</w:t>
            </w:r>
            <w:r>
              <w:rPr>
                <w:rFonts w:ascii="XO Thames" w:hAnsi="XO Thames"/>
                <w:sz w:val="28"/>
              </w:rPr>
              <w:t xml:space="preserve"> доступности финансовых услуг (включая доступность проверенной информации о финансовых услугах) для всех целевых групп населения, в т.ч. проживающих в сельской местности, малонаселенных и труднодоступных (отдаленных) населенных пунктах 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Администрация Крапивинского муниципального округа; </w:t>
            </w:r>
          </w:p>
          <w:p w14:paraId="56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  <w:p w14:paraId="57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</w:tc>
      </w:tr>
      <w:tr>
        <w:trPr>
          <w:trHeight w:hRule="atLeast" w:val="1673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2.5</w:t>
            </w:r>
          </w:p>
          <w:p w14:paraId="5A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rFonts w:ascii="XO Thames" w:hAnsi="XO Thames"/>
                <w:sz w:val="28"/>
                <w:highlight w:val="yellow"/>
              </w:rPr>
            </w:pPr>
            <w:r>
              <w:rPr>
                <w:rFonts w:ascii="XO Thames" w:hAnsi="XO Thames"/>
                <w:sz w:val="28"/>
              </w:rPr>
              <w:t>Взаимодействие с руководителями организаций и предприятий по проведению информационн</w:t>
            </w:r>
            <w:r>
              <w:rPr>
                <w:rFonts w:ascii="XO Thames" w:hAnsi="XO Thames"/>
                <w:sz w:val="28"/>
              </w:rPr>
              <w:t>о-просветительских</w:t>
            </w:r>
            <w:r>
              <w:rPr>
                <w:rFonts w:ascii="XO Thames" w:hAnsi="XO Thames"/>
                <w:sz w:val="28"/>
              </w:rPr>
              <w:t xml:space="preserve"> мероприятий по финансовой и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 xml:space="preserve">инвестиционной грамотности </w:t>
            </w:r>
          </w:p>
          <w:p w14:paraId="5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среди работников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Администрация Крапивинского муниципального округа; </w:t>
            </w:r>
          </w:p>
          <w:p w14:paraId="5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руководители организаций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и предприятий всех форм собственности</w:t>
            </w:r>
          </w:p>
          <w:p w14:paraId="5F000000">
            <w:pPr>
              <w:rPr>
                <w:rFonts w:ascii="XO Thames" w:hAnsi="XO Thames"/>
                <w:sz w:val="28"/>
              </w:rPr>
            </w:pPr>
          </w:p>
          <w:p w14:paraId="60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  <w:p w14:paraId="62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  <w:p w14:paraId="63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  <w:p w14:paraId="64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  <w:p w14:paraId="65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496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2.6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Проведение мероприятий по финансовой грамотности для людей старшего возраста, граждан с ограниченными возможностями здоровья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Администрация Крапивинского муниципального округа; </w:t>
            </w:r>
          </w:p>
          <w:p w14:paraId="6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</w:t>
            </w:r>
            <w:r>
              <w:rPr>
                <w:rFonts w:ascii="XO Thames" w:hAnsi="XO Thames"/>
                <w:sz w:val="28"/>
              </w:rPr>
              <w:t xml:space="preserve">правление социальной защиты населения администрации Крапивинского муниципального округа; </w:t>
            </w:r>
          </w:p>
          <w:p w14:paraId="6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округа;</w:t>
            </w:r>
          </w:p>
          <w:p w14:paraId="6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6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Муниципальное бюджетное учреждение культуры «Крапивинская централизованная библиотечная система»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  <w:p w14:paraId="6E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674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2.7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Проведение мероприятий по финансовой и инвестиционной грамотности для субъектов малого и среднего предпринимательства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Администрация Крапивинского муниципального округа; </w:t>
            </w:r>
          </w:p>
          <w:p w14:paraId="7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субъекты малого и среднего предпринимательства</w:t>
            </w:r>
          </w:p>
          <w:p w14:paraId="73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  <w:p w14:paraId="75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  <w:p w14:paraId="76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  <w:p w14:paraId="77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44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numPr>
                <w:ilvl w:val="0"/>
                <w:numId w:val="1"/>
              </w:numPr>
              <w:ind w:hanging="360" w:left="720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Создание системы постоянного информирования населения</w:t>
            </w:r>
          </w:p>
          <w:p w14:paraId="79000000">
            <w:pPr>
              <w:ind w:firstLine="0" w:left="0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     </w:t>
            </w:r>
            <w:r>
              <w:rPr>
                <w:rFonts w:ascii="XO Thames" w:hAnsi="XO Thames"/>
                <w:sz w:val="28"/>
              </w:rPr>
              <w:t>по вопросам повышения финансовой грамотности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3.1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Распространение информационных материалов (видеороликов, памяток, листовок) </w:t>
            </w:r>
            <w:r>
              <w:rPr>
                <w:rFonts w:ascii="XO Thames" w:hAnsi="XO Thames"/>
                <w:color w:val="000000"/>
                <w:spacing w:val="-1"/>
                <w:sz w:val="28"/>
                <w:highlight w:val="white"/>
              </w:rPr>
              <w:t xml:space="preserve">по </w:t>
            </w:r>
          </w:p>
          <w:p w14:paraId="7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color w:val="000000"/>
                <w:spacing w:val="-1"/>
                <w:sz w:val="28"/>
                <w:highlight w:val="white"/>
              </w:rPr>
              <w:t>вопросам финансовой и инвестиционной грамотности (электронные, печатные)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Администрация Крапивинского муниципального округа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  <w:p w14:paraId="7F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3.2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line="300" w:lineRule="exact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Обеспечение на регулярной основе социальной рекламы и роликов по финансовой и инвестиционной грамотности для трансляции </w:t>
            </w:r>
            <w:r>
              <w:rPr>
                <w:rFonts w:ascii="XO Thames" w:hAnsi="XO Thames"/>
                <w:sz w:val="28"/>
              </w:rPr>
              <w:t>в</w:t>
            </w:r>
          </w:p>
          <w:p w14:paraId="8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средствах массовой информации и на информационных экранах</w:t>
            </w:r>
            <w:r>
              <w:rPr>
                <w:rFonts w:ascii="XO Thames" w:hAnsi="XO Thames"/>
                <w:sz w:val="28"/>
              </w:rPr>
              <w:t xml:space="preserve"> на предприятиях и </w:t>
            </w:r>
            <w:r>
              <w:rPr>
                <w:rFonts w:ascii="XO Thames" w:hAnsi="XO Thames"/>
                <w:sz w:val="28"/>
              </w:rPr>
              <w:t>в иных местах, имеющих техническое оснащение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Администрация Крапивинского муниципального округа; </w:t>
            </w:r>
          </w:p>
          <w:p w14:paraId="84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Территориальный Центр занятости населения Крапивинского района; </w:t>
            </w:r>
          </w:p>
          <w:p w14:paraId="85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Государственное бюджетное учреждение здравоохранения «Крапивинская районная больница»</w:t>
            </w:r>
            <w:r>
              <w:rPr>
                <w:rFonts w:ascii="XO Thames" w:hAnsi="XO Thames"/>
                <w:sz w:val="28"/>
              </w:rPr>
              <w:t xml:space="preserve">; </w:t>
            </w:r>
          </w:p>
          <w:p w14:paraId="86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Отдел «Мои документы» Крапивинский район</w:t>
            </w:r>
            <w:r>
              <w:rPr>
                <w:rFonts w:ascii="XO Thames" w:hAnsi="XO Thames"/>
                <w:sz w:val="28"/>
              </w:rPr>
              <w:t>;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87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Муниципальное бюджетное учреждение «Медиа-центр Крапивинского муниципального округа»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  <w:p w14:paraId="89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  <w:p w14:paraId="8A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  <w:p w14:paraId="8B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3.3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Осуществление регулярного пополнения и обновления </w:t>
            </w:r>
            <w:r>
              <w:rPr>
                <w:rFonts w:ascii="XO Thames" w:hAnsi="XO Thames"/>
                <w:sz w:val="28"/>
              </w:rPr>
              <w:t>информации разделов «Финансовая грамотность» на официальном сайте администрации Крапивинского муниципального округа в информационно-телекоммуникационной сети «Интернет»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Администрация Крапивинского муниципального округа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3.4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Организация и проведение информирования граждан о способах и инструментах улучшения жилищных условий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Администрация Крапивинского муниципального округа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  <w:p w14:paraId="94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44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numPr>
                <w:ilvl w:val="0"/>
                <w:numId w:val="1"/>
              </w:numPr>
              <w:ind w:hanging="360" w:left="720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Осуществление межведомственного взаимодействия,</w:t>
            </w:r>
          </w:p>
          <w:p w14:paraId="96000000">
            <w:pPr>
              <w:ind w:firstLine="0" w:left="0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 том числе с целью профилактики противоправных действий на рынке финансовых услуг</w:t>
            </w:r>
          </w:p>
        </w:tc>
      </w:tr>
      <w:tr>
        <w:trPr>
          <w:trHeight w:hRule="atLeast" w:val="283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4.1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Организация взаимодействия и координация деятельности </w:t>
            </w:r>
            <w:r>
              <w:rPr>
                <w:rFonts w:ascii="XO Thames" w:hAnsi="XO Thames"/>
                <w:sz w:val="28"/>
              </w:rPr>
              <w:t xml:space="preserve">исполнителей и </w:t>
            </w:r>
            <w:r>
              <w:rPr>
                <w:rFonts w:ascii="XO Thames" w:hAnsi="XO Thames"/>
                <w:sz w:val="28"/>
              </w:rPr>
              <w:t>участников плана мероприятий по финансовой грамотности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line="228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Администрация Крапивинского муниципального округа</w:t>
            </w:r>
          </w:p>
          <w:p w14:paraId="9A000000">
            <w:pPr>
              <w:spacing w:line="228" w:lineRule="auto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</w:tc>
      </w:tr>
      <w:tr>
        <w:trPr>
          <w:trHeight w:hRule="atLeast" w:val="193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4.2</w:t>
            </w:r>
          </w:p>
          <w:p w14:paraId="9D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Организация проведения разъяснительной работы среди граждан пожилого возраста, инвалидов и работников социальной службы, </w:t>
            </w:r>
          </w:p>
          <w:p w14:paraId="9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 оказании социальных услуг в целях выявления и предотвращения мошеннических действий на финансовом рынке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Администрация Крапивинского муниципального округа; </w:t>
            </w:r>
          </w:p>
          <w:p w14:paraId="A1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Управление социальной защиты населения администрации Крапивинского муниципального округа; </w:t>
            </w:r>
          </w:p>
          <w:p w14:paraId="A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</w:tc>
      </w:tr>
      <w:tr>
        <w:trPr>
          <w:trHeight w:hRule="atLeast" w:val="2375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4.3</w:t>
            </w:r>
          </w:p>
          <w:p w14:paraId="A5000000">
            <w:pPr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Информирование</w:t>
            </w:r>
            <w:r>
              <w:rPr>
                <w:rFonts w:ascii="XO Thames" w:hAnsi="XO Thames"/>
                <w:b w:val="1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правоохранительных органов по вопросам незаконной деятельности микрофинансовых организаций, коллекторов, правонарушений на фондовом рынке при поступлении информации от граждан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line="228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Администрация Крапивинского муниципального округа; </w:t>
            </w:r>
          </w:p>
          <w:p w14:paraId="A8000000">
            <w:pPr>
              <w:spacing w:line="228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Отдел МВД России по Крапивинскому муниципальному округу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</w:tc>
      </w:tr>
      <w:t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4.4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Организация постоянной работы комиссий по закредитованности 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Администрация Крапивинского муниципального округа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</w:tc>
      </w:tr>
      <w:tr>
        <w:tc>
          <w:tcPr>
            <w:tcW w:type="dxa" w:w="144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numPr>
                <w:ilvl w:val="0"/>
                <w:numId w:val="1"/>
              </w:numPr>
              <w:ind w:hanging="360" w:left="720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Организация мониторинга уровня финансовой грамотности населения</w:t>
            </w:r>
          </w:p>
          <w:p w14:paraId="AF000000">
            <w:pPr>
              <w:ind w:firstLine="0" w:left="0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 субъектов малого и среднего предпринимательства</w:t>
            </w:r>
          </w:p>
        </w:tc>
      </w:tr>
      <w:tr>
        <w:trPr>
          <w:trHeight w:hRule="atLeast" w:val="386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5.1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Организация участия населения </w:t>
            </w:r>
            <w:r>
              <w:rPr>
                <w:rFonts w:ascii="XO Thames" w:hAnsi="XO Thames"/>
                <w:sz w:val="28"/>
              </w:rPr>
              <w:t>Крапивинского муниципального округа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в</w:t>
            </w:r>
            <w:r>
              <w:rPr>
                <w:rFonts w:ascii="XO Thames" w:hAnsi="XO Thames"/>
                <w:sz w:val="28"/>
              </w:rPr>
              <w:t xml:space="preserve"> мероприятиях по финансовой грамотности</w:t>
            </w:r>
            <w:r>
              <w:rPr>
                <w:rFonts w:ascii="XO Thames" w:hAnsi="XO Thames"/>
                <w:sz w:val="28"/>
              </w:rPr>
              <w:t xml:space="preserve"> (онлайн-зачетах, опросах)</w:t>
            </w:r>
            <w:r>
              <w:rPr>
                <w:rFonts w:ascii="XO Thames" w:hAnsi="XO Thames"/>
                <w:sz w:val="28"/>
              </w:rPr>
              <w:t>, в том числе направленных на оценку текущего состояния уровня финансовой грамотности населения региона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Администрация Крапивинского муниципального округа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Ежегодно</w:t>
            </w:r>
          </w:p>
        </w:tc>
      </w:tr>
    </w:tbl>
    <w:p w14:paraId="B4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</w:t>
      </w:r>
      <w:r>
        <w:rPr>
          <w:rFonts w:ascii="XO Thames" w:hAnsi="XO Thames"/>
          <w:sz w:val="28"/>
        </w:rPr>
        <w:t xml:space="preserve">    </w:t>
      </w:r>
    </w:p>
    <w:sectPr>
      <w:footerReference r:id="rId1" w:type="default"/>
      <w:pgSz w:h="11906" w:orient="landscape" w:w="16838"/>
      <w:pgMar w:bottom="851" w:footer="708" w:gutter="0" w:header="708" w:left="1080" w:right="82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4_ch" w:type="character">
    <w:name w:val="Normal"/>
    <w:link w:val="Style_4"/>
    <w:rPr>
      <w:rFonts w:ascii="Times New Roman" w:hAnsi="Times New Roman"/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Cell"/>
    <w:link w:val="Style_11_ch"/>
    <w:pPr>
      <w:spacing w:after="0" w:line="240" w:lineRule="auto"/>
      <w:ind/>
    </w:pPr>
    <w:rPr>
      <w:rFonts w:ascii="Arial" w:hAnsi="Arial"/>
      <w:sz w:val="20"/>
    </w:rPr>
  </w:style>
  <w:style w:styleId="Style_11_ch" w:type="character">
    <w:name w:val="ConsPlusCell"/>
    <w:link w:val="Style_11"/>
    <w:rPr>
      <w:rFonts w:ascii="Arial" w:hAnsi="Arial"/>
      <w:sz w:val="20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4"/>
    <w:link w:val="Style_14_ch"/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header"/>
    <w:basedOn w:val="Style_4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4_ch"/>
    <w:link w:val="Style_15"/>
  </w:style>
  <w:style w:styleId="Style_16" w:type="paragraph">
    <w:name w:val="heading 5"/>
    <w:basedOn w:val="Style_4"/>
    <w:next w:val="Style_4"/>
    <w:link w:val="Style_16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16_ch" w:type="character">
    <w:name w:val="heading 5"/>
    <w:basedOn w:val="Style_4_ch"/>
    <w:link w:val="Style_16"/>
    <w:rPr>
      <w:b w:val="1"/>
      <w:sz w:val="28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" w:type="paragraph">
    <w:name w:val="Body Text 2"/>
    <w:basedOn w:val="Style_4"/>
    <w:link w:val="Style_2_ch"/>
    <w:pPr>
      <w:ind/>
      <w:jc w:val="both"/>
    </w:pPr>
    <w:rPr>
      <w:sz w:val="28"/>
    </w:rPr>
  </w:style>
  <w:style w:styleId="Style_2_ch" w:type="character">
    <w:name w:val="Body Text 2"/>
    <w:basedOn w:val="Style_4_ch"/>
    <w:link w:val="Style_2"/>
    <w:rPr>
      <w:sz w:val="28"/>
    </w:rPr>
  </w:style>
  <w:style w:styleId="Style_25" w:type="paragraph">
    <w:name w:val="Font Style43"/>
    <w:basedOn w:val="Style_13"/>
    <w:link w:val="Style_25_ch"/>
    <w:rPr>
      <w:rFonts w:ascii="Times New Roman" w:hAnsi="Times New Roman"/>
      <w:sz w:val="22"/>
    </w:rPr>
  </w:style>
  <w:style w:styleId="Style_25_ch" w:type="character">
    <w:name w:val="Font Style43"/>
    <w:basedOn w:val="Style_13_ch"/>
    <w:link w:val="Style_25"/>
    <w:rPr>
      <w:rFonts w:ascii="Times New Roman" w:hAnsi="Times New Roman"/>
      <w:sz w:val="22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basedOn w:val="Style_4"/>
    <w:next w:val="Style_4"/>
    <w:link w:val="Style_28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28_ch" w:type="character">
    <w:name w:val="heading 4"/>
    <w:basedOn w:val="Style_4_ch"/>
    <w:link w:val="Style_28"/>
    <w:rPr>
      <w:b w:val="1"/>
      <w:sz w:val="36"/>
    </w:rPr>
  </w:style>
  <w:style w:styleId="Style_29" w:type="paragraph">
    <w:name w:val="List Paragraph"/>
    <w:basedOn w:val="Style_4"/>
    <w:link w:val="Style_29_ch"/>
    <w:pPr>
      <w:ind w:firstLine="0" w:left="720"/>
      <w:contextualSpacing w:val="1"/>
    </w:pPr>
  </w:style>
  <w:style w:styleId="Style_29_ch" w:type="character">
    <w:name w:val="List Paragraph"/>
    <w:basedOn w:val="Style_4_ch"/>
    <w:link w:val="Style_29"/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2025-07-25T01:36:26Z</dcterms:modified>
</cp:coreProperties>
</file>