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C051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141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6D076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2C0510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8013BB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Крапивинского городского поселения </w:t>
      </w:r>
      <w:proofErr w:type="spellStart"/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Мязина</w:t>
      </w:r>
      <w:proofErr w:type="spellEnd"/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682118">
        <w:rPr>
          <w:rFonts w:ascii="Times New Roman" w:eastAsia="Times New Roman" w:hAnsi="Times New Roman" w:cs="Courier New"/>
          <w:sz w:val="23"/>
          <w:szCs w:val="23"/>
          <w:lang w:eastAsia="ru-RU"/>
        </w:rPr>
        <w:t>26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8013BB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013B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5976FA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5976F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5976FA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6FA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="005976FA"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5976FA" w:rsidRPr="0074104D" w:rsidRDefault="005976FA" w:rsidP="005976FA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6FA" w:rsidRPr="0074104D" w:rsidRDefault="005976FA" w:rsidP="005976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59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1.1.6. Обеспечение малоимущих граждан, проживающих в поселении и нуждающихся в улучшении жилищных условий, жилыми помещениями в соответствии с жилищным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законодательством, организация строительства и содержания муниципального жилищного фонда, создание условий для жилищного строительства,</w:t>
      </w:r>
      <w:r w:rsidR="00B578AA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B578AA" w:rsidRPr="0074104D" w:rsidRDefault="00B578AA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жилищного контроля;</w:t>
      </w:r>
    </w:p>
    <w:p w:rsidR="00386379" w:rsidRPr="00386379" w:rsidRDefault="00DE6F55" w:rsidP="00386379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86379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="006E0D8B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 а  также в минимизации и (или) ликвидации последствий проявлений терроризма и э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экстремизма в границах поселения;</w:t>
      </w:r>
    </w:p>
    <w:p w:rsidR="006E0D8B" w:rsidRDefault="006E0D8B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1.1.8. С</w:t>
      </w:r>
      <w:r w:rsidRPr="006E0D8B">
        <w:rPr>
          <w:rFonts w:ascii="Times New Roman" w:eastAsia="Times New Roman" w:hAnsi="Times New Roman" w:cs="Times New Roman"/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A21B8" w:rsidRPr="0074104D" w:rsidRDefault="00D73045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1.1.9. 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730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73045" w:rsidRPr="00D73045" w:rsidRDefault="00DA21B8" w:rsidP="00D7304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D73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045" w:rsidRPr="00D73045">
        <w:rPr>
          <w:rFonts w:ascii="Times New Roman" w:eastAsia="Times New Roman" w:hAnsi="Times New Roman" w:cs="Times New Roman"/>
          <w:sz w:val="24"/>
          <w:szCs w:val="24"/>
        </w:rPr>
        <w:t>Осуществление мер по противодействию коррупции в границах поселения в части:</w:t>
      </w:r>
    </w:p>
    <w:p w:rsidR="00567A26" w:rsidRPr="0074104D" w:rsidRDefault="00D73045" w:rsidP="00152A9C">
      <w:pPr>
        <w:pStyle w:val="ConsPlusNormal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D7304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  <w:r w:rsidR="00152A9C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152A9C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152A9C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6D0764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ского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D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6D0764" w:rsidRPr="006D076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С.Г. </w:t>
            </w:r>
            <w:proofErr w:type="spellStart"/>
            <w:r w:rsidR="006D0764" w:rsidRPr="006D076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Мязин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52A9C"/>
    <w:rsid w:val="00163296"/>
    <w:rsid w:val="001A6AF8"/>
    <w:rsid w:val="002C0510"/>
    <w:rsid w:val="00310528"/>
    <w:rsid w:val="00320405"/>
    <w:rsid w:val="00386379"/>
    <w:rsid w:val="004125D4"/>
    <w:rsid w:val="00476EDC"/>
    <w:rsid w:val="0051019A"/>
    <w:rsid w:val="00537233"/>
    <w:rsid w:val="005570ED"/>
    <w:rsid w:val="00567A26"/>
    <w:rsid w:val="005976FA"/>
    <w:rsid w:val="005C447D"/>
    <w:rsid w:val="005E5829"/>
    <w:rsid w:val="00682118"/>
    <w:rsid w:val="00691B16"/>
    <w:rsid w:val="006D0764"/>
    <w:rsid w:val="006E0D8B"/>
    <w:rsid w:val="006F3A75"/>
    <w:rsid w:val="007372FF"/>
    <w:rsid w:val="0074104D"/>
    <w:rsid w:val="00777B30"/>
    <w:rsid w:val="008013BB"/>
    <w:rsid w:val="00B06C1E"/>
    <w:rsid w:val="00B578AA"/>
    <w:rsid w:val="00B84808"/>
    <w:rsid w:val="00C22984"/>
    <w:rsid w:val="00C605C4"/>
    <w:rsid w:val="00D3353A"/>
    <w:rsid w:val="00D73045"/>
    <w:rsid w:val="00DA21B8"/>
    <w:rsid w:val="00DE6F55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7913-1C36-4008-94FA-AC7CCEE9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6</cp:revision>
  <cp:lastPrinted>2014-01-07T08:40:00Z</cp:lastPrinted>
  <dcterms:created xsi:type="dcterms:W3CDTF">2014-11-17T07:37:00Z</dcterms:created>
  <dcterms:modified xsi:type="dcterms:W3CDTF">2015-09-08T09:48:00Z</dcterms:modified>
</cp:coreProperties>
</file>