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</w:p>
    <w:p w14:paraId="03000000">
      <w:pPr>
        <w:pStyle w:val="Style_2"/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z w:val="28"/>
        </w:rPr>
        <w:t xml:space="preserve"> отчету об исполнении бюджета Крапивинского муниципального округа за 2 квартал 2025года</w:t>
      </w:r>
    </w:p>
    <w:p w14:paraId="04000000">
      <w:pPr>
        <w:pStyle w:val="Style_2"/>
        <w:widowControl w:val="1"/>
        <w:numPr>
          <w:ilvl w:val="0"/>
          <w:numId w:val="1"/>
        </w:numPr>
        <w:spacing w:after="120" w:before="12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положения.</w:t>
      </w:r>
    </w:p>
    <w:p w14:paraId="05000000">
      <w:pPr>
        <w:pStyle w:val="Style_2"/>
        <w:widowControl w:val="1"/>
        <w:spacing w:line="276" w:lineRule="auto"/>
        <w:ind w:firstLine="709"/>
        <w:jc w:val="both"/>
        <w:rPr>
          <w:color w:val="C00000"/>
          <w:sz w:val="28"/>
        </w:rPr>
      </w:pPr>
      <w:r>
        <w:rPr>
          <w:sz w:val="28"/>
        </w:rPr>
        <w:t xml:space="preserve">Анализ отчета об исполнении бюджета Крапивинского муниципального округа за 2 квартал 2025 года проведен контрольно-счетным органом </w:t>
      </w:r>
      <w:r>
        <w:rPr>
          <w:sz w:val="28"/>
        </w:rPr>
        <w:t>Крапивинского муниципального округа в соответствии с требованиями статьи 264.2 Бюджетного кодекса Российской Федерации (далее БК РФ), Уставом Крапивинского муниципального округа</w:t>
      </w:r>
      <w:r>
        <w:rPr>
          <w:color w:val="C00000"/>
          <w:sz w:val="28"/>
        </w:rPr>
        <w:t xml:space="preserve">, </w:t>
      </w:r>
      <w:r>
        <w:rPr>
          <w:sz w:val="28"/>
        </w:rPr>
        <w:t>статьей 14 Положения о бюджетном процессе в Крапивинском муниципальном округе</w:t>
      </w:r>
      <w:r>
        <w:rPr>
          <w:sz w:val="28"/>
        </w:rPr>
        <w:t>, утвержденного решение Совета народных депутатов Крапивинского муниципального округа от 08.11.2021 № 273, подпунктом 9, п.1 статьи 8 Положения «О контрольно-счетном органе Крапивинского муниципального округа»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от 08.11.2021 № 281, планом работы Контрольно - </w:t>
      </w:r>
      <w:r>
        <w:rPr>
          <w:sz w:val="28"/>
        </w:rPr>
        <w:t>счетного органа Крапивинского муниципального округа на 2025 год и распоряжением председателя контрольно-счетного органа № 7 от 29.07.2025г.</w:t>
      </w:r>
    </w:p>
    <w:p w14:paraId="06000000">
      <w:pPr>
        <w:pStyle w:val="Style_2"/>
        <w:widowControl w:val="1"/>
        <w:numPr>
          <w:ilvl w:val="0"/>
          <w:numId w:val="1"/>
        </w:numPr>
        <w:spacing w:after="120" w:before="120" w:line="276" w:lineRule="auto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Общая характеристика бюджета.</w:t>
      </w:r>
    </w:p>
    <w:p w14:paraId="07000000">
      <w:pPr>
        <w:widowControl w:val="1"/>
        <w:spacing w:after="120"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на 2025 год утвержден решением Совета нар</w:t>
      </w:r>
      <w:r>
        <w:rPr>
          <w:sz w:val="28"/>
        </w:rPr>
        <w:t xml:space="preserve">одных депутатов Крапивинского муниципального округа от 27.12.2024 №23 «О бюджете Крапивинского муниципального округа на 2025 год и плановый период 2026 и 2027 годы» </w:t>
      </w:r>
    </w:p>
    <w:p w14:paraId="08000000">
      <w:pPr>
        <w:widowControl w:val="1"/>
        <w:spacing w:line="276" w:lineRule="auto"/>
        <w:ind w:firstLine="709"/>
        <w:rPr>
          <w:sz w:val="28"/>
        </w:rPr>
      </w:pPr>
      <w:r>
        <w:rPr>
          <w:sz w:val="28"/>
        </w:rPr>
        <w:t xml:space="preserve">Основные показатели бюджета: </w:t>
      </w:r>
    </w:p>
    <w:p w14:paraId="09000000">
      <w:pPr>
        <w:widowControl w:val="1"/>
        <w:numPr>
          <w:ilvl w:val="0"/>
          <w:numId w:val="2"/>
        </w:numPr>
        <w:spacing w:line="276" w:lineRule="auto"/>
        <w:ind w:firstLine="709" w:left="0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– 1530402,5 тыс. руб.;</w:t>
      </w:r>
    </w:p>
    <w:p w14:paraId="0A000000">
      <w:pPr>
        <w:widowControl w:val="1"/>
        <w:numPr>
          <w:ilvl w:val="0"/>
          <w:numId w:val="2"/>
        </w:numPr>
        <w:spacing w:line="276" w:lineRule="auto"/>
        <w:ind w:firstLine="709" w:left="0"/>
        <w:rPr>
          <w:sz w:val="28"/>
        </w:rPr>
      </w:pPr>
      <w:r>
        <w:rPr>
          <w:sz w:val="28"/>
        </w:rPr>
        <w:t>расходы</w:t>
      </w:r>
      <w:r>
        <w:rPr>
          <w:sz w:val="28"/>
        </w:rPr>
        <w:t xml:space="preserve"> –1539902,5 тыс</w:t>
      </w:r>
      <w:r>
        <w:rPr>
          <w:sz w:val="28"/>
        </w:rPr>
        <w:t>. руб.;</w:t>
      </w:r>
    </w:p>
    <w:p w14:paraId="0B000000">
      <w:pPr>
        <w:widowControl w:val="1"/>
        <w:numPr>
          <w:ilvl w:val="0"/>
          <w:numId w:val="2"/>
        </w:numPr>
        <w:spacing w:after="120" w:line="276" w:lineRule="auto"/>
        <w:ind w:firstLine="709" w:left="0"/>
        <w:rPr>
          <w:sz w:val="28"/>
        </w:rPr>
      </w:pPr>
      <w:r>
        <w:rPr>
          <w:sz w:val="28"/>
        </w:rPr>
        <w:t>дефицит</w:t>
      </w:r>
      <w:r>
        <w:rPr>
          <w:sz w:val="28"/>
        </w:rPr>
        <w:t xml:space="preserve"> бюджета – 9,5 млн. руб.</w:t>
      </w:r>
    </w:p>
    <w:p w14:paraId="0C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Изменения в бюджет округа в отчетном периоде внесены на основании ст.92.1 п.3 Бюджетного Кодекса РФ решением</w:t>
      </w:r>
      <w:r>
        <w:rPr>
          <w:sz w:val="28"/>
        </w:rPr>
        <w:t xml:space="preserve"> Совета народных депутатов Крапивинского муниципального округа от 19.05.2025 №58, в отчете об исполнении бюджета </w:t>
      </w:r>
      <w:r>
        <w:rPr>
          <w:sz w:val="28"/>
        </w:rPr>
        <w:t>за второй квартал 2025 года утвержденные бюджетные назначения по доходам отражены в сумме 1699245,1 тыс. руб., по расходам – 1606640,6 тыс. руб., профицит бюджета 92604,5 тыс. руб.  Изменения утвержденных бюджетных назначений внесены согласно уведомления №</w:t>
      </w:r>
      <w:r>
        <w:rPr>
          <w:sz w:val="28"/>
        </w:rPr>
        <w:t xml:space="preserve">2213 от 19.06.2025 года о предоставлении дотации бюджетам на поддержку мер по обеспечению сбалансированности бюджетов на сумму 128000 тыс. </w:t>
      </w:r>
      <w:r>
        <w:rPr>
          <w:sz w:val="28"/>
        </w:rPr>
        <w:t xml:space="preserve">руб. и реализации проектов инициативного бюджетирования «Твой Кузбасс – твоя </w:t>
      </w:r>
      <w:r>
        <w:rPr>
          <w:sz w:val="28"/>
        </w:rPr>
        <w:t>инициатива» в размере - -1796,6 тыс. руб.</w:t>
      </w:r>
    </w:p>
    <w:p w14:paraId="0D000000">
      <w:pPr>
        <w:widowControl w:val="1"/>
        <w:spacing w:after="120" w:before="120" w:line="276" w:lineRule="auto"/>
        <w:ind w:firstLine="17" w:left="720"/>
        <w:jc w:val="right"/>
        <w:rPr>
          <w:sz w:val="28"/>
        </w:rPr>
      </w:pPr>
      <w:r>
        <w:t>таблица</w:t>
      </w:r>
      <w:r>
        <w:t xml:space="preserve"> № 1(тыс. руб.)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2355"/>
        <w:gridCol w:w="2329"/>
        <w:gridCol w:w="2102"/>
      </w:tblGrid>
      <w:tr>
        <w:trPr>
          <w:trHeight w:hRule="atLeast" w:val="1791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2"/>
              <w:widowControl w:val="1"/>
              <w:spacing w:line="276" w:lineRule="auto"/>
              <w:ind w:hanging="57" w:left="57"/>
              <w:jc w:val="both"/>
              <w:rPr>
                <w:sz w:val="28"/>
              </w:rPr>
            </w:pPr>
            <w:r>
              <w:rPr>
                <w:sz w:val="28"/>
              </w:rPr>
              <w:t>Решение СНД от 27.12.2024 №23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Решение СНД от 19.05.2025 №58</w:t>
            </w:r>
          </w:p>
          <w:p w14:paraId="11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 xml:space="preserve"> по отчету об исполнении бюджета за 1 полугодие 2025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1530402,5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1573041,7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1699245,1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1539902,5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1608437,2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1606640,6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Дефицит (-)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-9500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-35395,5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92604,5</w:t>
            </w:r>
          </w:p>
        </w:tc>
      </w:tr>
    </w:tbl>
    <w:p w14:paraId="1F000000">
      <w:pPr>
        <w:widowControl w:val="1"/>
        <w:spacing w:line="276" w:lineRule="auto"/>
        <w:ind/>
        <w:rPr>
          <w:sz w:val="28"/>
        </w:rPr>
      </w:pPr>
    </w:p>
    <w:p w14:paraId="20000000">
      <w:pPr>
        <w:widowControl w:val="1"/>
        <w:numPr>
          <w:ilvl w:val="0"/>
          <w:numId w:val="1"/>
        </w:numPr>
        <w:spacing w:after="120" w:before="113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Анализ исполнения доходов бюджета Крапивинского муниципального округа.</w:t>
      </w:r>
    </w:p>
    <w:p w14:paraId="21000000">
      <w:pPr>
        <w:pStyle w:val="Style_2"/>
        <w:widowControl w:val="1"/>
        <w:spacing w:line="276" w:lineRule="auto"/>
        <w:ind w:firstLine="709"/>
        <w:rPr>
          <w:sz w:val="28"/>
        </w:rPr>
      </w:pPr>
      <w:r>
        <w:rPr>
          <w:sz w:val="28"/>
        </w:rPr>
        <w:t>Х</w:t>
      </w:r>
      <w:r>
        <w:rPr>
          <w:sz w:val="28"/>
        </w:rPr>
        <w:t>арактеристика основных показателей исполнения бюджета за 1 полугодие 2025 года представлена в таблице №2.</w:t>
      </w:r>
    </w:p>
    <w:p w14:paraId="22000000">
      <w:pPr>
        <w:widowControl w:val="1"/>
        <w:spacing w:after="120" w:before="120" w:line="276" w:lineRule="auto"/>
        <w:ind w:hanging="153" w:left="720"/>
        <w:jc w:val="center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</w:t>
      </w:r>
      <w:r>
        <w:rPr>
          <w:sz w:val="28"/>
        </w:rPr>
        <w:t>т</w:t>
      </w:r>
      <w:r>
        <w:t>аблица</w:t>
      </w:r>
      <w:r>
        <w:t xml:space="preserve"> № 2(тыс. руб.)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95"/>
        <w:gridCol w:w="2194"/>
        <w:gridCol w:w="2194"/>
        <w:gridCol w:w="2194"/>
      </w:tblGrid>
      <w:tr>
        <w:trPr>
          <w:trHeight w:hRule="atLeast" w:val="721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pStyle w:val="Style_2"/>
              <w:widowControl w:val="1"/>
              <w:spacing w:line="276" w:lineRule="auto"/>
              <w:ind w:hanging="57" w:left="57"/>
              <w:jc w:val="both"/>
              <w:rPr>
                <w:sz w:val="28"/>
              </w:rPr>
            </w:pPr>
            <w:r>
              <w:rPr>
                <w:sz w:val="28"/>
              </w:rPr>
              <w:t>Утверждено по бюджету на 2025год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Исполнение за 1 полугодие 2025 года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Исполнение к годовым бюджетным назначениям (%)</w:t>
            </w:r>
          </w:p>
        </w:tc>
      </w:tr>
      <w:tr>
        <w:trPr>
          <w:trHeight w:hRule="atLeast" w:val="355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1699245,1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837000,7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49,26</w:t>
            </w:r>
          </w:p>
        </w:tc>
      </w:tr>
      <w:tr>
        <w:trPr>
          <w:trHeight w:hRule="atLeast" w:val="236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1606640,6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858062,1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2"/>
              <w:widowControl w:val="1"/>
              <w:spacing w:line="276" w:lineRule="auto"/>
              <w:ind w:firstLine="567"/>
              <w:rPr>
                <w:sz w:val="28"/>
              </w:rPr>
            </w:pPr>
            <w:r>
              <w:rPr>
                <w:sz w:val="28"/>
              </w:rPr>
              <w:t>53,41</w:t>
            </w:r>
          </w:p>
        </w:tc>
      </w:tr>
      <w:tr>
        <w:trPr>
          <w:trHeight w:hRule="atLeast" w:val="236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Дефицит (-)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92604,5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-21061,4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spacing w:line="276" w:lineRule="auto"/>
              <w:ind/>
            </w:pPr>
          </w:p>
        </w:tc>
      </w:tr>
    </w:tbl>
    <w:p w14:paraId="33000000">
      <w:pPr>
        <w:pStyle w:val="Style_2"/>
        <w:widowControl w:val="1"/>
        <w:spacing w:after="120" w:line="276" w:lineRule="auto"/>
        <w:ind/>
        <w:jc w:val="both"/>
        <w:rPr>
          <w:sz w:val="28"/>
        </w:rPr>
      </w:pPr>
    </w:p>
    <w:p w14:paraId="34000000">
      <w:pPr>
        <w:pStyle w:val="Style_2"/>
        <w:widowControl w:val="1"/>
        <w:spacing w:after="120"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представленным отчетом исполненные доходы бюджета за 1 полугодие 2025 года составили 837000,7 тыс. рублей или 49,26% от годового объема утвержденных доходов.</w:t>
      </w:r>
    </w:p>
    <w:p w14:paraId="35000000">
      <w:pPr>
        <w:pStyle w:val="Style_2"/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Структура исполненных доходов бюджета за 1 полугодие 2025 года:</w:t>
      </w:r>
    </w:p>
    <w:p w14:paraId="36000000">
      <w:pPr>
        <w:pStyle w:val="Style_2"/>
        <w:widowControl w:val="1"/>
        <w:numPr>
          <w:ilvl w:val="0"/>
          <w:numId w:val="3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налоговые</w:t>
      </w:r>
      <w:r>
        <w:rPr>
          <w:sz w:val="28"/>
        </w:rPr>
        <w:t xml:space="preserve"> доходы – 15,76 %;</w:t>
      </w:r>
    </w:p>
    <w:p w14:paraId="37000000">
      <w:pPr>
        <w:pStyle w:val="Style_2"/>
        <w:widowControl w:val="1"/>
        <w:numPr>
          <w:ilvl w:val="0"/>
          <w:numId w:val="3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неналоговые</w:t>
      </w:r>
      <w:r>
        <w:rPr>
          <w:sz w:val="28"/>
        </w:rPr>
        <w:t xml:space="preserve"> доходы – 2,71 %;</w:t>
      </w:r>
    </w:p>
    <w:p w14:paraId="38000000">
      <w:pPr>
        <w:pStyle w:val="Style_2"/>
        <w:widowControl w:val="1"/>
        <w:numPr>
          <w:ilvl w:val="0"/>
          <w:numId w:val="3"/>
        </w:numPr>
        <w:spacing w:after="113" w:line="276" w:lineRule="auto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поступления – 81,53 %.</w:t>
      </w:r>
    </w:p>
    <w:p w14:paraId="39000000">
      <w:pPr>
        <w:pStyle w:val="Style_2"/>
        <w:widowControl w:val="1"/>
        <w:spacing w:after="113" w:before="113" w:line="276" w:lineRule="auto"/>
        <w:ind w:hanging="213" w:left="780"/>
        <w:jc w:val="right"/>
      </w:pPr>
      <w:r>
        <w:t>таблица</w:t>
      </w:r>
      <w:r>
        <w:t xml:space="preserve"> №3 (тыс. руб.)</w:t>
      </w:r>
    </w:p>
    <w:tbl>
      <w:tblPr>
        <w:tblStyle w:val="Style_3"/>
        <w:tblW w:type="auto" w:w="0"/>
        <w:jc w:val="center"/>
        <w:tblLayout w:type="fixed"/>
      </w:tblPr>
      <w:tblGrid>
        <w:gridCol w:w="2590"/>
        <w:gridCol w:w="1661"/>
        <w:gridCol w:w="1790"/>
        <w:gridCol w:w="2736"/>
      </w:tblGrid>
      <w:tr>
        <w:trPr>
          <w:trHeight w:hRule="atLeast" w:val="550"/>
        </w:trPr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type="dxa" w:w="166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Утвержденные назначения</w:t>
            </w:r>
          </w:p>
        </w:tc>
        <w:tc>
          <w:tcPr>
            <w:tcW w:type="dxa" w:w="452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>
        <w:trPr>
          <w:trHeight w:hRule="atLeast" w:val="826"/>
        </w:trPr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2025 год</w:t>
            </w:r>
          </w:p>
        </w:tc>
        <w:tc>
          <w:tcPr>
            <w:tcW w:type="dxa" w:w="17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1 п</w:t>
            </w:r>
            <w:r>
              <w:rPr>
                <w:sz w:val="28"/>
              </w:rPr>
              <w:t>олугодие 2025 года</w:t>
            </w:r>
          </w:p>
        </w:tc>
        <w:tc>
          <w:tcPr>
            <w:tcW w:type="dxa" w:w="273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Исполнение к годовым бюджетным назначениям </w:t>
            </w:r>
            <w:r>
              <w:rPr>
                <w:sz w:val="28"/>
              </w:rPr>
              <w:t>( %</w:t>
            </w:r>
            <w:r>
              <w:rPr>
                <w:sz w:val="28"/>
              </w:rPr>
              <w:t xml:space="preserve"> )</w:t>
            </w:r>
          </w:p>
        </w:tc>
      </w:tr>
      <w:tr>
        <w:trPr>
          <w:trHeight w:hRule="atLeast" w:val="70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ВСЕГО ДОХОДОВ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1699245,1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837000,7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49,26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Налоговые и неналоговые доходы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360517,0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154556,3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42,87</w:t>
            </w:r>
          </w:p>
        </w:tc>
      </w:tr>
      <w:tr>
        <w:trPr>
          <w:trHeight w:hRule="atLeast" w:val="290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Налоговые доходы</w:t>
            </w:r>
          </w:p>
        </w:tc>
        <w:tc>
          <w:tcPr>
            <w:tcW w:type="dxa" w:w="16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314437,0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131840,3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41,93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Неналоговые доходы</w:t>
            </w:r>
          </w:p>
        </w:tc>
        <w:tc>
          <w:tcPr>
            <w:tcW w:type="dxa" w:w="16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46080,0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22716,0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49,30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Безвозмездные поступления 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1338728,1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682444,4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50,98</w:t>
            </w:r>
          </w:p>
        </w:tc>
      </w:tr>
    </w:tbl>
    <w:p w14:paraId="54000000">
      <w:pPr>
        <w:pStyle w:val="Style_2"/>
        <w:widowControl w:val="1"/>
        <w:spacing w:after="113" w:before="283" w:line="276" w:lineRule="auto"/>
        <w:ind w:firstLine="709"/>
        <w:jc w:val="both"/>
        <w:rPr>
          <w:sz w:val="28"/>
        </w:rPr>
      </w:pPr>
      <w:r>
        <w:rPr>
          <w:b w:val="1"/>
          <w:sz w:val="28"/>
        </w:rPr>
        <w:t xml:space="preserve">3.1 Налоговые доходы </w:t>
      </w:r>
      <w:r>
        <w:rPr>
          <w:sz w:val="28"/>
        </w:rPr>
        <w:t>бюджета Крапивинского муниципального округа за 1 полугодие 2025 года составили 131840,3 тыс. рублей или 41,93 % от годового объема утвержденных налоговых поступлений:</w:t>
      </w:r>
    </w:p>
    <w:p w14:paraId="55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color w:val="000000"/>
          <w:sz w:val="28"/>
        </w:rPr>
      </w:pPr>
      <w:r>
        <w:rPr>
          <w:sz w:val="28"/>
        </w:rPr>
        <w:t>налог</w:t>
      </w:r>
      <w:r>
        <w:rPr>
          <w:sz w:val="28"/>
        </w:rPr>
        <w:t xml:space="preserve"> на </w:t>
      </w:r>
      <w:r>
        <w:rPr>
          <w:sz w:val="28"/>
        </w:rPr>
        <w:t xml:space="preserve">доходы физических лиц за 1 полугодие 2025 год –79220,8 тыс. руб. или 46,67% налоговых и неналоговых доходов округа и 51,26% от суммы всех </w:t>
      </w:r>
      <w:r>
        <w:rPr>
          <w:color w:val="000000"/>
          <w:sz w:val="28"/>
        </w:rPr>
        <w:t>доходов;</w:t>
      </w:r>
    </w:p>
    <w:p w14:paraId="56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налог</w:t>
      </w:r>
      <w:r>
        <w:rPr>
          <w:color w:val="000000"/>
          <w:sz w:val="28"/>
        </w:rPr>
        <w:t xml:space="preserve"> на товары, реализуемые на территории (акцизы) – 8646,2 тыс.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руб. или 5,59% налоговых и неналоговых доход</w:t>
      </w:r>
      <w:r>
        <w:rPr>
          <w:color w:val="000000"/>
          <w:sz w:val="28"/>
        </w:rPr>
        <w:t>ов и 1,03% в общем объеме доходов;</w:t>
      </w:r>
    </w:p>
    <w:p w14:paraId="57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color w:val="000000"/>
          <w:sz w:val="28"/>
        </w:rPr>
        <w:t>налоги</w:t>
      </w:r>
      <w:r>
        <w:rPr>
          <w:color w:val="000000"/>
          <w:sz w:val="28"/>
        </w:rPr>
        <w:t xml:space="preserve"> на совокупный </w:t>
      </w:r>
      <w:r>
        <w:rPr>
          <w:sz w:val="28"/>
        </w:rPr>
        <w:t>доход за 1 полугодие 2025 года – 29256,0 тыс. руб. или 18,93 %  налоговых и неналоговых доходов и 3,5% в общем объеме доходов;</w:t>
      </w:r>
    </w:p>
    <w:p w14:paraId="58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налог</w:t>
      </w:r>
      <w:r>
        <w:rPr>
          <w:sz w:val="28"/>
        </w:rPr>
        <w:t xml:space="preserve"> на имущество за 1 полугодие 2025 года – 401,1 тыс. руб. или 0,26% </w:t>
      </w:r>
      <w:r>
        <w:rPr>
          <w:sz w:val="28"/>
        </w:rPr>
        <w:t>налоговых и неналоговых доходов и 0,05% в общем объеме доходов;</w:t>
      </w:r>
    </w:p>
    <w:p w14:paraId="59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транспортный</w:t>
      </w:r>
      <w:r>
        <w:rPr>
          <w:sz w:val="28"/>
        </w:rPr>
        <w:t xml:space="preserve"> налог за 1 полугодие 2025 года – 92,2 тыс. </w:t>
      </w:r>
      <w:r>
        <w:rPr>
          <w:sz w:val="28"/>
        </w:rPr>
        <w:t>руб. или 0,06% налоговых и неналоговых доходов и 0,01% в общем объеме доходов;</w:t>
      </w:r>
    </w:p>
    <w:p w14:paraId="5A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земельный</w:t>
      </w:r>
      <w:r>
        <w:rPr>
          <w:sz w:val="28"/>
        </w:rPr>
        <w:t xml:space="preserve"> налог за 1 полугодие 2025 года – 9129,4 тыс. </w:t>
      </w:r>
      <w:r>
        <w:rPr>
          <w:sz w:val="28"/>
        </w:rPr>
        <w:t>руб</w:t>
      </w:r>
      <w:r>
        <w:rPr>
          <w:sz w:val="28"/>
        </w:rPr>
        <w:t xml:space="preserve">. или </w:t>
      </w:r>
      <w:r>
        <w:rPr>
          <w:sz w:val="28"/>
        </w:rPr>
        <w:t>5,91% налоговых и неналоговых доходов и 1,09% в общем объеме доходов;</w:t>
      </w:r>
    </w:p>
    <w:p w14:paraId="5B000000">
      <w:pPr>
        <w:pStyle w:val="Style_2"/>
        <w:widowControl w:val="1"/>
        <w:numPr>
          <w:ilvl w:val="0"/>
          <w:numId w:val="4"/>
        </w:numPr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z w:val="28"/>
        </w:rPr>
        <w:t xml:space="preserve"> пошлина за 1 полугодие 2025 года – 5094,7 тыс. </w:t>
      </w:r>
      <w:r>
        <w:rPr>
          <w:sz w:val="28"/>
        </w:rPr>
        <w:t>руб., или 3,3% налоговых и неналоговых доходов и 0,61% в общем объеме доходов.</w:t>
      </w:r>
    </w:p>
    <w:p w14:paraId="5C000000">
      <w:pPr>
        <w:pStyle w:val="Style_2"/>
        <w:widowControl w:val="1"/>
        <w:tabs>
          <w:tab w:leader="none" w:pos="142" w:val="left"/>
        </w:tabs>
        <w:spacing w:after="113" w:before="113" w:line="276" w:lineRule="auto"/>
        <w:ind w:firstLine="567"/>
        <w:jc w:val="both"/>
        <w:rPr>
          <w:sz w:val="28"/>
        </w:rPr>
      </w:pPr>
      <w:r>
        <w:rPr>
          <w:b w:val="1"/>
          <w:sz w:val="28"/>
        </w:rPr>
        <w:t>3.2 Неналоговые доходы</w:t>
      </w:r>
      <w:r>
        <w:rPr>
          <w:sz w:val="28"/>
        </w:rPr>
        <w:t xml:space="preserve"> бюджета Крапивинского муниципального округа за 1 полугодие 2025 года составили 22716,0 тыс. рублей или 49,3% от годового объема </w:t>
      </w:r>
      <w:r>
        <w:rPr>
          <w:sz w:val="28"/>
        </w:rPr>
        <w:t>утвержденных  поступлений</w:t>
      </w:r>
      <w:r>
        <w:rPr>
          <w:sz w:val="28"/>
        </w:rPr>
        <w:t>, в том числе:</w:t>
      </w:r>
    </w:p>
    <w:p w14:paraId="5D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использования имущества, находящегося в муниципальной собственности в 1 полуг</w:t>
      </w:r>
      <w:r>
        <w:rPr>
          <w:sz w:val="28"/>
        </w:rPr>
        <w:t>одии 2025 года - 16682,5 тыс. руб., в общем объеме доходов бюджета – 1,99 %;</w:t>
      </w:r>
    </w:p>
    <w:p w14:paraId="5E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платежи</w:t>
      </w:r>
      <w:r>
        <w:rPr>
          <w:sz w:val="28"/>
        </w:rPr>
        <w:t xml:space="preserve"> при пользовании природными ресурсами составили в 1 полугодии 2025 года 348,6 тыс. </w:t>
      </w:r>
      <w:r>
        <w:rPr>
          <w:sz w:val="28"/>
        </w:rPr>
        <w:t xml:space="preserve">руб. или 0,04%  в общем объеме доходов бюджета; </w:t>
      </w:r>
    </w:p>
    <w:p w14:paraId="5F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оказания платных услуг и компен</w:t>
      </w:r>
      <w:r>
        <w:rPr>
          <w:sz w:val="28"/>
        </w:rPr>
        <w:t xml:space="preserve">сации затрат государства за 1 полугодие 2025 года получены в сумме 1955,8 тыс. </w:t>
      </w:r>
      <w:r>
        <w:rPr>
          <w:sz w:val="28"/>
        </w:rPr>
        <w:t>руб., что в общем объеме доходов бюджета составляет 0,23%;</w:t>
      </w:r>
    </w:p>
    <w:p w14:paraId="60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продажи  материальных и нематериальных активов в 1 полугодии 2025 года – 2186,7 тыс. руб., в общем объеме дох</w:t>
      </w:r>
      <w:r>
        <w:rPr>
          <w:sz w:val="28"/>
        </w:rPr>
        <w:t>одов бюджета Крапивинского муниципального округа  составили 0,26%;</w:t>
      </w:r>
    </w:p>
    <w:p w14:paraId="61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прочие</w:t>
      </w:r>
      <w:r>
        <w:rPr>
          <w:sz w:val="28"/>
        </w:rPr>
        <w:t xml:space="preserve"> неналоговые доходы (штрафы, санкции, возмещение ущерба) в 1 полугодии 2025 года составили 334,6 тыс. руб., или 0,01% в общем объеме доходов;</w:t>
      </w:r>
    </w:p>
    <w:p w14:paraId="62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инициативные</w:t>
      </w:r>
      <w:r>
        <w:rPr>
          <w:sz w:val="28"/>
        </w:rPr>
        <w:t xml:space="preserve"> платежи получены 1071,8 тыс. </w:t>
      </w:r>
      <w:r>
        <w:rPr>
          <w:sz w:val="28"/>
        </w:rPr>
        <w:t xml:space="preserve">руб., в общем объеме доходов бюджета составляет 0,13%. </w:t>
      </w:r>
    </w:p>
    <w:p w14:paraId="63000000">
      <w:pPr>
        <w:widowControl w:val="1"/>
        <w:spacing w:after="120" w:before="113" w:line="276" w:lineRule="auto"/>
        <w:ind w:firstLine="567"/>
        <w:jc w:val="both"/>
        <w:rPr>
          <w:sz w:val="28"/>
        </w:rPr>
      </w:pPr>
      <w:r>
        <w:rPr>
          <w:b w:val="1"/>
          <w:sz w:val="28"/>
        </w:rPr>
        <w:t xml:space="preserve">3.3 Безвозмездные поступления </w:t>
      </w:r>
      <w:r>
        <w:rPr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sz w:val="28"/>
        </w:rPr>
        <w:t>бюджете Крапивинского муниципального округа за 1 полугодие 2025 года составили 682444,4 тыс. руб. или 50,98 % от годового объема утвержденных поступлений в том числе:</w:t>
      </w:r>
    </w:p>
    <w:p w14:paraId="64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дотации</w:t>
      </w:r>
      <w:r>
        <w:rPr>
          <w:sz w:val="28"/>
        </w:rPr>
        <w:t xml:space="preserve"> на выравнивание бюджетной обеспеченности - 209457,1 тыс. руб.;</w:t>
      </w:r>
    </w:p>
    <w:p w14:paraId="65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межбюджетные</w:t>
      </w:r>
      <w:r>
        <w:rPr>
          <w:sz w:val="28"/>
        </w:rPr>
        <w:t xml:space="preserve"> субсидии – 63536,4 тыс. руб.;</w:t>
      </w:r>
    </w:p>
    <w:p w14:paraId="66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субвенции</w:t>
      </w:r>
      <w:r>
        <w:rPr>
          <w:sz w:val="28"/>
        </w:rPr>
        <w:t xml:space="preserve"> бюджетам бюджетной системы - 387782,9 тыс. </w:t>
      </w:r>
      <w:r>
        <w:rPr>
          <w:sz w:val="28"/>
        </w:rPr>
        <w:t>руб.</w:t>
      </w:r>
    </w:p>
    <w:p w14:paraId="67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 xml:space="preserve"> межбюджетные трансферты – 21124,6 тыс. руб.</w:t>
      </w:r>
    </w:p>
    <w:p w14:paraId="68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прочие</w:t>
      </w:r>
      <w:r>
        <w:rPr>
          <w:sz w:val="28"/>
        </w:rPr>
        <w:t xml:space="preserve"> безвозмездные поступления –9</w:t>
      </w:r>
      <w:r>
        <w:rPr>
          <w:sz w:val="28"/>
        </w:rPr>
        <w:t>30,1 тыс. руб.</w:t>
      </w:r>
    </w:p>
    <w:p w14:paraId="69000000">
      <w:pPr>
        <w:widowControl w:val="1"/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Возврат прочих остатков субсидий, субвенций и иных межбюджетных трансфертов прошлых лет, имеющих целевое назначение </w:t>
      </w:r>
      <w:r>
        <w:rPr>
          <w:sz w:val="28"/>
        </w:rPr>
        <w:t xml:space="preserve">– 386,8 тыс. </w:t>
      </w:r>
      <w:r>
        <w:rPr>
          <w:sz w:val="28"/>
        </w:rPr>
        <w:t>руб..</w:t>
      </w:r>
    </w:p>
    <w:p w14:paraId="6A000000">
      <w:pPr>
        <w:widowControl w:val="1"/>
        <w:spacing w:line="276" w:lineRule="auto"/>
        <w:ind w:firstLine="426"/>
        <w:jc w:val="both"/>
        <w:rPr>
          <w:sz w:val="28"/>
        </w:rPr>
      </w:pPr>
    </w:p>
    <w:p w14:paraId="6B000000">
      <w:pPr>
        <w:widowControl w:val="1"/>
        <w:spacing w:line="276" w:lineRule="auto"/>
        <w:ind w:left="430"/>
        <w:jc w:val="center"/>
        <w:rPr>
          <w:b w:val="1"/>
          <w:sz w:val="28"/>
        </w:rPr>
      </w:pPr>
    </w:p>
    <w:p w14:paraId="6C000000">
      <w:pPr>
        <w:widowControl w:val="1"/>
        <w:spacing w:after="120" w:line="276" w:lineRule="auto"/>
        <w:ind w:left="430"/>
        <w:jc w:val="center"/>
        <w:rPr>
          <w:b w:val="1"/>
          <w:sz w:val="28"/>
        </w:rPr>
      </w:pPr>
      <w:r>
        <w:rPr>
          <w:b w:val="1"/>
          <w:sz w:val="28"/>
        </w:rPr>
        <w:t>4. Анализ исполнения расходов бюджета Крапивинского муниципального округа.</w:t>
      </w:r>
    </w:p>
    <w:p w14:paraId="6D000000">
      <w:pPr>
        <w:pStyle w:val="Style_2"/>
        <w:widowControl w:val="1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соответствии с </w:t>
      </w:r>
      <w:r>
        <w:rPr>
          <w:sz w:val="28"/>
        </w:rPr>
        <w:t>представленным отчетом расходы бюджета за 1 полугодие 2025 года составили 858062,1 тыс. рублей, или 53,41 % от утвержденного годового объема бюджетных назначений. Исполнение расходной части бюджета Крапивинского муниципального округа представлено в таблице</w:t>
      </w:r>
      <w:r>
        <w:rPr>
          <w:sz w:val="28"/>
        </w:rPr>
        <w:t xml:space="preserve"> №4.</w:t>
      </w:r>
    </w:p>
    <w:p w14:paraId="6E000000">
      <w:pPr>
        <w:pStyle w:val="Style_2"/>
        <w:widowControl w:val="1"/>
        <w:spacing w:after="120" w:before="120" w:line="276" w:lineRule="auto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</w:t>
      </w:r>
      <w:r>
        <w:rPr>
          <w:sz w:val="28"/>
        </w:rPr>
        <w:t xml:space="preserve">   </w:t>
      </w:r>
      <w:r>
        <w:t xml:space="preserve"> </w:t>
      </w:r>
      <w:r>
        <w:t>таблица</w:t>
      </w:r>
      <w:r>
        <w:t xml:space="preserve"> №4 (тыс. руб.)</w:t>
      </w:r>
    </w:p>
    <w:tbl>
      <w:tblPr>
        <w:tblStyle w:val="Style_3"/>
        <w:tblW w:type="auto" w:w="0"/>
        <w:jc w:val="center"/>
        <w:tblLayout w:type="fixed"/>
      </w:tblPr>
      <w:tblGrid>
        <w:gridCol w:w="3864"/>
        <w:gridCol w:w="1604"/>
        <w:gridCol w:w="191"/>
        <w:gridCol w:w="1962"/>
        <w:gridCol w:w="1166"/>
      </w:tblGrid>
      <w:tr>
        <w:trPr>
          <w:trHeight w:hRule="atLeast" w:val="708"/>
        </w:trPr>
        <w:tc>
          <w:tcPr>
            <w:tcW w:type="dxa" w:w="3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раздела  расходов</w:t>
            </w:r>
          </w:p>
        </w:tc>
        <w:tc>
          <w:tcPr>
            <w:tcW w:type="dxa" w:w="1795"/>
            <w:gridSpan w:val="2"/>
            <w:tcBorders>
              <w:top w:color="000000" w:sz="4" w:val="single"/>
              <w:bottom w:color="000000" w:sz="6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Утвержденные назначения</w:t>
            </w:r>
          </w:p>
        </w:tc>
        <w:tc>
          <w:tcPr>
            <w:tcW w:type="dxa" w:w="3128"/>
            <w:gridSpan w:val="2"/>
            <w:tcBorders>
              <w:top w:color="000000" w:sz="4" w:val="single"/>
              <w:bottom w:color="000000" w:sz="6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>
        <w:trPr>
          <w:trHeight w:hRule="atLeast" w:val="826"/>
        </w:trPr>
        <w:tc>
          <w:tcPr>
            <w:tcW w:type="dxa" w:w="3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2025 год</w:t>
            </w:r>
          </w:p>
        </w:tc>
        <w:tc>
          <w:tcPr>
            <w:tcW w:type="dxa" w:w="21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 1 полугодие 2025 года</w:t>
            </w:r>
          </w:p>
        </w:tc>
        <w:tc>
          <w:tcPr>
            <w:tcW w:type="dxa" w:w="1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 годовым назначениям</w:t>
            </w:r>
          </w:p>
          <w:p w14:paraId="75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%</w:t>
            </w:r>
          </w:p>
        </w:tc>
      </w:tr>
      <w:tr>
        <w:trPr>
          <w:trHeight w:hRule="atLeast" w:val="177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01 «Общегосударственные расходы»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109413,8</w:t>
            </w:r>
          </w:p>
        </w:tc>
        <w:tc>
          <w:tcPr>
            <w:tcW w:type="dxa" w:w="2153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60737,2</w:t>
            </w:r>
          </w:p>
        </w:tc>
        <w:tc>
          <w:tcPr>
            <w:tcW w:type="dxa" w:w="116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55,51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02 «Национальная оборона»</w:t>
            </w:r>
          </w:p>
        </w:tc>
        <w:tc>
          <w:tcPr>
            <w:tcW w:type="dxa" w:w="16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2032,3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817,6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40,23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E000000">
            <w:pPr>
              <w:widowControl w:val="1"/>
              <w:spacing w:after="0" w:before="0" w:line="276" w:lineRule="auto"/>
              <w:ind/>
              <w:rPr>
                <w:sz w:val="28"/>
              </w:rPr>
            </w:pPr>
            <w:r>
              <w:rPr>
                <w:sz w:val="28"/>
              </w:rPr>
              <w:t>03 «Национальная безопасность и правоохранительная деятельность»</w:t>
            </w:r>
          </w:p>
        </w:tc>
        <w:tc>
          <w:tcPr>
            <w:tcW w:type="dxa" w:w="16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18400,5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2961,3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16,09</w:t>
            </w:r>
          </w:p>
        </w:tc>
      </w:tr>
      <w:tr>
        <w:trPr>
          <w:trHeight w:hRule="atLeast" w:val="707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04 «Национальная экономика»</w:t>
            </w:r>
          </w:p>
        </w:tc>
        <w:tc>
          <w:tcPr>
            <w:tcW w:type="dxa" w:w="1604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174042,1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90510,8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52,01</w:t>
            </w:r>
          </w:p>
        </w:tc>
      </w:tr>
      <w:tr>
        <w:trPr>
          <w:trHeight w:hRule="atLeast" w:val="746"/>
        </w:trPr>
        <w:tc>
          <w:tcPr>
            <w:tcW w:type="dxa" w:w="3864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8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05 </w:t>
            </w:r>
            <w:r>
              <w:rPr>
                <w:sz w:val="28"/>
              </w:rPr>
              <w:t>«Жилищно-коммунальное хозяйство»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bottom"/>
          </w:tcPr>
          <w:p w14:paraId="8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173083,4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53551,4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30,94</w:t>
            </w:r>
          </w:p>
        </w:tc>
      </w:tr>
      <w:tr>
        <w:trPr>
          <w:trHeight w:hRule="atLeast" w:val="746"/>
        </w:trPr>
        <w:tc>
          <w:tcPr>
            <w:tcW w:type="dxa" w:w="38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06 «Охрана окружающей среды»</w:t>
            </w:r>
          </w:p>
        </w:tc>
        <w:tc>
          <w:tcPr>
            <w:tcW w:type="dxa" w:w="160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11685,4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575"/>
        </w:trPr>
        <w:tc>
          <w:tcPr>
            <w:tcW w:type="dxa" w:w="38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07 «Образование»</w:t>
            </w:r>
          </w:p>
        </w:tc>
        <w:tc>
          <w:tcPr>
            <w:tcW w:type="dxa" w:w="16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725220,4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444333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61,27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08 «Культура и кинематография»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145366,1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83239,6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57,26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10 «Социальная </w:t>
            </w:r>
            <w:r>
              <w:rPr>
                <w:sz w:val="28"/>
              </w:rPr>
              <w:t>политика»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241758,3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118740,8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49,12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>
              <w:rPr>
                <w:sz w:val="28"/>
              </w:rPr>
              <w:t>«Физическая культура и спорт»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1689,3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893,3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52,88</w:t>
            </w:r>
          </w:p>
        </w:tc>
      </w:tr>
      <w:tr>
        <w:trPr>
          <w:trHeight w:hRule="atLeast" w:val="445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12 «Средства массовой информации»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3949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2277,1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57,66</w:t>
            </w:r>
          </w:p>
        </w:tc>
      </w:tr>
      <w:tr>
        <w:trPr>
          <w:trHeight w:hRule="atLeast" w:val="52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1606640,6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pStyle w:val="Style_2"/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858062,1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53,41</w:t>
            </w:r>
          </w:p>
        </w:tc>
      </w:tr>
    </w:tbl>
    <w:p w14:paraId="A6000000">
      <w:pPr>
        <w:pStyle w:val="Style_4"/>
        <w:widowControl w:val="1"/>
        <w:spacing w:after="0" w:before="283" w:line="276" w:lineRule="auto"/>
        <w:ind w:firstLine="36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01 «Общегосударственные вопросы» - </w:t>
      </w:r>
      <w:r>
        <w:rPr>
          <w:sz w:val="28"/>
        </w:rPr>
        <w:t>расходы за 1 полугодие 2025 года составили 60737,2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тыс. руб. или 55,51% от </w:t>
      </w:r>
      <w:r>
        <w:rPr>
          <w:sz w:val="28"/>
        </w:rPr>
        <w:t>утвержденного годового объема бюджетных назначений, что составляет 7,08% общего объема расходов.</w:t>
      </w:r>
    </w:p>
    <w:p w14:paraId="A7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0102 - «Функционирование высшего должностного лица субъекта Российской Федерации и муниципального образования» расходы  составили 1669,9 тыс. руб</w:t>
      </w:r>
      <w:r>
        <w:rPr>
          <w:sz w:val="28"/>
        </w:rPr>
        <w:t>., или 74,21 % от утвержденного годового объема бюджетных назначений;</w:t>
      </w:r>
    </w:p>
    <w:p w14:paraId="A8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0103 - «Функционирование законодательных (представительных) органов государственной власти и представительных органов муниципальных образований» расходы составили 1166,9 ты</w:t>
      </w:r>
      <w:r>
        <w:rPr>
          <w:sz w:val="28"/>
        </w:rPr>
        <w:t>с. руб. или 58,61% от утвержденного годового объема бюджетных назначений;</w:t>
      </w:r>
    </w:p>
    <w:p w14:paraId="A9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0104 -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z w:val="28"/>
        </w:rPr>
        <w:t xml:space="preserve"> расходы составили 46559,1 тыс. руб. или 58,4% от утвержденного годового объема бюджетных назначений;</w:t>
      </w:r>
    </w:p>
    <w:p w14:paraId="AA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0105 – «Судебная система» расходы составили 2,9 тыс. </w:t>
      </w:r>
      <w:r>
        <w:rPr>
          <w:sz w:val="28"/>
        </w:rPr>
        <w:t>руб.</w:t>
      </w:r>
      <w:r>
        <w:rPr>
          <w:sz w:val="28"/>
        </w:rPr>
        <w:t>;</w:t>
      </w:r>
    </w:p>
    <w:p w14:paraId="AB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0106 - «Обеспечение деятельности финансовых, налоговых и таможенных о</w:t>
      </w:r>
      <w:r>
        <w:rPr>
          <w:sz w:val="28"/>
        </w:rPr>
        <w:t>рганов и органов финансового (финансово-бюджетного) надзора» расходы составили 4851,3 тыс. руб. или 45,9 % от утвержденного годового объема бюджетных назначений;</w:t>
      </w:r>
    </w:p>
    <w:p w14:paraId="AC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0111 - «Резервные фонды» расходы не производились.</w:t>
      </w:r>
    </w:p>
    <w:p w14:paraId="AD000000">
      <w:pPr>
        <w:pStyle w:val="Style_4"/>
        <w:widowControl w:val="1"/>
        <w:numPr>
          <w:ilvl w:val="0"/>
          <w:numId w:val="7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0113 - «Другие </w:t>
      </w:r>
      <w:r>
        <w:rPr>
          <w:sz w:val="28"/>
        </w:rPr>
        <w:t>общегосударственный расходы» расходы составили 6487,2 тыс. руб. или 46,9 % от утвержденного годового объема бюджетных назначений.</w:t>
      </w:r>
    </w:p>
    <w:p w14:paraId="AE000000">
      <w:pPr>
        <w:pStyle w:val="Style_4"/>
        <w:widowControl w:val="1"/>
        <w:spacing w:after="0" w:before="113"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02 «Национальная оборона» - </w:t>
      </w:r>
      <w:r>
        <w:rPr>
          <w:sz w:val="28"/>
        </w:rPr>
        <w:t xml:space="preserve">израсходовано 817,6 тыс. </w:t>
      </w:r>
      <w:r>
        <w:rPr>
          <w:sz w:val="28"/>
        </w:rPr>
        <w:t xml:space="preserve">руб., что составляет 40,23% от утвержденного годового объема </w:t>
      </w:r>
      <w:r>
        <w:rPr>
          <w:sz w:val="28"/>
        </w:rPr>
        <w:t>бюдже</w:t>
      </w:r>
      <w:r>
        <w:rPr>
          <w:sz w:val="28"/>
        </w:rPr>
        <w:t>тных назначений.</w:t>
      </w:r>
    </w:p>
    <w:p w14:paraId="AF000000">
      <w:pPr>
        <w:pStyle w:val="Style_4"/>
        <w:widowControl w:val="1"/>
        <w:numPr>
          <w:ilvl w:val="0"/>
          <w:numId w:val="8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0203 – «Мобилизационная и вневойсковая подготовка» расходы составили 817,6 тыс. руб. или 40,23 % от утвержденного годового объема бюджетных назначений.</w:t>
      </w:r>
    </w:p>
    <w:p w14:paraId="B0000000">
      <w:pPr>
        <w:pStyle w:val="Style_4"/>
        <w:widowControl w:val="1"/>
        <w:spacing w:after="0"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03 «Национальная безопасность и правоохранительная деятельность» </w:t>
      </w:r>
      <w:r>
        <w:rPr>
          <w:b w:val="1"/>
          <w:i w:val="1"/>
          <w:sz w:val="28"/>
        </w:rPr>
        <w:t xml:space="preserve">- </w:t>
      </w:r>
      <w:r>
        <w:rPr>
          <w:sz w:val="28"/>
        </w:rPr>
        <w:t>расходы составили 2961,3 тыс. руб., или 16,1% от утвержденного годового объема бюджетных назначений.</w:t>
      </w:r>
    </w:p>
    <w:p w14:paraId="B1000000">
      <w:pPr>
        <w:pStyle w:val="Style_4"/>
        <w:widowControl w:val="1"/>
        <w:numPr>
          <w:ilvl w:val="0"/>
          <w:numId w:val="9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0309 – «Гражданская оборона» расходы составили 2955,9 тыс. руб. или 33,64 % от утвержденного годового объема бюджетных назначений;</w:t>
      </w:r>
    </w:p>
    <w:p w14:paraId="B2000000">
      <w:pPr>
        <w:pStyle w:val="Style_4"/>
        <w:widowControl w:val="1"/>
        <w:numPr>
          <w:ilvl w:val="0"/>
          <w:numId w:val="9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</w:t>
      </w:r>
      <w:r>
        <w:rPr>
          <w:sz w:val="28"/>
        </w:rPr>
        <w:t>зделу 0310 – «Защита населения и территории от чрезвычайных ситуаций природного и техногенного характера, пожарная безопасность» расходы составили 5,4 тыс. руб. или 0,06 % от утвержденного годового объема бюджетных назначений.</w:t>
      </w:r>
    </w:p>
    <w:p w14:paraId="B3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>Раздел 04 «Национальная экон</w:t>
      </w:r>
      <w:r>
        <w:rPr>
          <w:b w:val="1"/>
          <w:i w:val="1"/>
          <w:sz w:val="28"/>
        </w:rPr>
        <w:t xml:space="preserve">омика» - </w:t>
      </w:r>
      <w:r>
        <w:rPr>
          <w:sz w:val="28"/>
        </w:rPr>
        <w:t>израсходовано 90510,8 тыс. руб. или 52,01 % от утвержденного годового объема бюджетных назначений.</w:t>
      </w:r>
    </w:p>
    <w:p w14:paraId="B4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0402 – «Топливно-энергетический комплекс» расходы составили 10095,5 тыс. </w:t>
      </w:r>
      <w:r>
        <w:rPr>
          <w:sz w:val="28"/>
        </w:rPr>
        <w:t>руб., или 23,41 % от утвержденного годового объема бюджетных н</w:t>
      </w:r>
      <w:r>
        <w:rPr>
          <w:sz w:val="28"/>
        </w:rPr>
        <w:t>азначений;</w:t>
      </w:r>
    </w:p>
    <w:p w14:paraId="B5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0403 – «Лесное хозяйство» расходы не производились;</w:t>
      </w:r>
    </w:p>
    <w:p w14:paraId="B6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0408 – «Транспорт» расходы составили 15826,0 тыс. </w:t>
      </w:r>
      <w:r>
        <w:rPr>
          <w:sz w:val="28"/>
        </w:rPr>
        <w:t xml:space="preserve">руб., или 66,2 % от утвержденного годового объема бюджетных назначений; </w:t>
      </w:r>
    </w:p>
    <w:p w14:paraId="B7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0409 – «Дорожное хозяйство (д</w:t>
      </w:r>
      <w:r>
        <w:rPr>
          <w:sz w:val="28"/>
        </w:rPr>
        <w:t xml:space="preserve">орожные фонды» расходы составили 63437,6 тыс. </w:t>
      </w:r>
      <w:r>
        <w:rPr>
          <w:sz w:val="28"/>
        </w:rPr>
        <w:t>руб., или 66,5 % от утвержденного годового объема бюджетных назначений;</w:t>
      </w:r>
    </w:p>
    <w:p w14:paraId="B8000000">
      <w:pPr>
        <w:pStyle w:val="Style_4"/>
        <w:widowControl w:val="1"/>
        <w:numPr>
          <w:ilvl w:val="0"/>
          <w:numId w:val="10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0412 – «Другие возможности в области национальной экономики» расходы составили 1151,6 тыс. </w:t>
      </w:r>
      <w:r>
        <w:rPr>
          <w:sz w:val="28"/>
        </w:rPr>
        <w:t>руб., или 9,9 % от утвержденного го</w:t>
      </w:r>
      <w:r>
        <w:rPr>
          <w:sz w:val="28"/>
        </w:rPr>
        <w:t>дового объема бюджетных назначений.</w:t>
      </w:r>
    </w:p>
    <w:p w14:paraId="B9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 xml:space="preserve">Раздел 05 «Жилищно-коммунальное хозяйство» - </w:t>
      </w:r>
      <w:r>
        <w:rPr>
          <w:sz w:val="28"/>
        </w:rPr>
        <w:t>исполнение 53551,4 тыс. руб. или 30,94% от утвержденного годового объема бюджетных назначений.</w:t>
      </w:r>
    </w:p>
    <w:p w14:paraId="BA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0501 – «Жилищное хозяйство» расходы составили 272,3 тыс. руб. или</w:t>
      </w:r>
      <w:r>
        <w:rPr>
          <w:sz w:val="28"/>
        </w:rPr>
        <w:t xml:space="preserve"> 13,2 % от утвержденного годового объема бюджетных назначений;</w:t>
      </w:r>
    </w:p>
    <w:p w14:paraId="BB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0502 – «Коммунальное хозяйство» расходы составили 44867,9 тыс. руб. или 46,87 % от утвержденного годового объема бюджетных назначений;</w:t>
      </w:r>
    </w:p>
    <w:p w14:paraId="BC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0503 – «Благоустройство» расхо</w:t>
      </w:r>
      <w:r>
        <w:rPr>
          <w:sz w:val="28"/>
        </w:rPr>
        <w:t>ды составили 4078,1 тыс. руб. или 6,21 % от утвержденного годового объема бюджетных назначений;</w:t>
      </w:r>
    </w:p>
    <w:p w14:paraId="BD000000">
      <w:pPr>
        <w:pStyle w:val="Style_4"/>
        <w:widowControl w:val="1"/>
        <w:numPr>
          <w:ilvl w:val="0"/>
          <w:numId w:val="11"/>
        </w:numPr>
        <w:spacing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0505 – «Другие вопросы в области жилищно - коммунального хозяйства» расходы составили 4333,0 тыс. руб. или 44,75 % от утвержденного годового </w:t>
      </w:r>
      <w:r>
        <w:rPr>
          <w:sz w:val="28"/>
        </w:rPr>
        <w:t>объема бюджетных назначений.</w:t>
      </w:r>
    </w:p>
    <w:p w14:paraId="BE000000">
      <w:pPr>
        <w:pStyle w:val="Style_4"/>
        <w:widowControl w:val="1"/>
        <w:spacing w:line="276" w:lineRule="auto"/>
        <w:ind w:firstLine="850"/>
        <w:jc w:val="both"/>
        <w:rPr>
          <w:sz w:val="28"/>
        </w:rPr>
      </w:pPr>
      <w:r>
        <w:rPr>
          <w:b w:val="1"/>
          <w:i w:val="1"/>
          <w:sz w:val="28"/>
        </w:rPr>
        <w:t>Раздел 06 «Охрана окружающей среды» –</w:t>
      </w:r>
      <w:r>
        <w:rPr>
          <w:sz w:val="28"/>
        </w:rPr>
        <w:t xml:space="preserve"> расходы в 1 полугодии 2025 года не производились.</w:t>
      </w:r>
    </w:p>
    <w:p w14:paraId="BF000000">
      <w:pPr>
        <w:pStyle w:val="Style_4"/>
        <w:widowControl w:val="1"/>
        <w:spacing w:after="0" w:line="276" w:lineRule="auto"/>
        <w:ind w:firstLine="850"/>
        <w:jc w:val="both"/>
        <w:rPr>
          <w:sz w:val="28"/>
        </w:rPr>
      </w:pPr>
      <w:r>
        <w:rPr>
          <w:b w:val="1"/>
          <w:i w:val="1"/>
          <w:sz w:val="28"/>
        </w:rPr>
        <w:t>Раздел 07 «Образование» -</w:t>
      </w:r>
      <w:r>
        <w:rPr>
          <w:sz w:val="28"/>
        </w:rPr>
        <w:t xml:space="preserve"> расходы в 1 полугодии 2025года составили 444333,0 тыс. руб. или 61,27% от утвержденного годового объема бюджет</w:t>
      </w:r>
      <w:r>
        <w:rPr>
          <w:sz w:val="28"/>
        </w:rPr>
        <w:t>ных назначений.</w:t>
      </w:r>
    </w:p>
    <w:p w14:paraId="C0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0701 – «Дошкольное образование» расходы составили 102894,2 тыс. руб. или 52,2 % от утвержденного годового объема бюджетных назначений;</w:t>
      </w:r>
    </w:p>
    <w:p w14:paraId="C1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0702 – «Общее образование» расходы составили 276753,2 тыс. руб. или 65,6 % от</w:t>
      </w:r>
      <w:r>
        <w:rPr>
          <w:sz w:val="28"/>
        </w:rPr>
        <w:t xml:space="preserve"> утвержденного годового объема бюджетных назначений;</w:t>
      </w:r>
    </w:p>
    <w:p w14:paraId="C2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0703 – «Дополнительное образование детей» расходы составили 48285,5 тыс. руб. или 66,8 % от утвержденного годового объема бюджетных назначений;</w:t>
      </w:r>
    </w:p>
    <w:p w14:paraId="C3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0707 – «Молодежная политика» ра</w:t>
      </w:r>
      <w:r>
        <w:rPr>
          <w:sz w:val="28"/>
        </w:rPr>
        <w:t xml:space="preserve">сходы составили 260,9 тыс. </w:t>
      </w:r>
      <w:r>
        <w:rPr>
          <w:sz w:val="28"/>
        </w:rPr>
        <w:t>руб. или 62,2 % от утвержденного годового объема бюджетных назначений;</w:t>
      </w:r>
    </w:p>
    <w:p w14:paraId="C4000000">
      <w:pPr>
        <w:pStyle w:val="Style_4"/>
        <w:widowControl w:val="1"/>
        <w:numPr>
          <w:ilvl w:val="0"/>
          <w:numId w:val="12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0709 – «Другие вопросы в области образования» расходы составили 16139,2 тыс. руб. или 53,1 % от утвержденного годового объема бюджетных назначени</w:t>
      </w:r>
      <w:r>
        <w:rPr>
          <w:sz w:val="28"/>
        </w:rPr>
        <w:t>й.</w:t>
      </w:r>
    </w:p>
    <w:p w14:paraId="C5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>Раздел 08 «Культура, кинематография»</w:t>
      </w:r>
      <w:r>
        <w:rPr>
          <w:i w:val="1"/>
          <w:sz w:val="28"/>
        </w:rPr>
        <w:t xml:space="preserve"> -</w:t>
      </w:r>
      <w:r>
        <w:rPr>
          <w:sz w:val="28"/>
        </w:rPr>
        <w:t xml:space="preserve"> расходы за 1 полугодие 2025 года составили 83239,6 тыс. руб. или 57,3% от утвержденного годового объема бюджетных назначений.</w:t>
      </w:r>
    </w:p>
    <w:p w14:paraId="C6000000">
      <w:pPr>
        <w:pStyle w:val="Style_4"/>
        <w:widowControl w:val="1"/>
        <w:numPr>
          <w:ilvl w:val="0"/>
          <w:numId w:val="13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0801 – «Культура» расходы составили 58833,2 тыс. руб. или 55,7 % от утве</w:t>
      </w:r>
      <w:r>
        <w:rPr>
          <w:sz w:val="28"/>
        </w:rPr>
        <w:t>ржденного годового объема бюджетных назначений;</w:t>
      </w:r>
    </w:p>
    <w:p w14:paraId="C7000000">
      <w:pPr>
        <w:pStyle w:val="Style_4"/>
        <w:widowControl w:val="1"/>
        <w:numPr>
          <w:ilvl w:val="0"/>
          <w:numId w:val="13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0804 – «Другие вопросы в области культуры, кинематографии» расходы составили 24406,5 тыс. руб. или 61,4 % от </w:t>
      </w:r>
      <w:r>
        <w:rPr>
          <w:sz w:val="28"/>
        </w:rPr>
        <w:t>утвержденного годового объема бюджетных назначений.</w:t>
      </w:r>
    </w:p>
    <w:p w14:paraId="C8000000">
      <w:pPr>
        <w:pStyle w:val="Style_4"/>
        <w:widowControl w:val="1"/>
        <w:spacing w:after="0" w:line="276" w:lineRule="auto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 xml:space="preserve">Раздел 10 «Социальная политика» - </w:t>
      </w:r>
      <w:r>
        <w:rPr>
          <w:sz w:val="28"/>
        </w:rPr>
        <w:t xml:space="preserve">расходы в 1 полугодии 2025 года составили 118740,8 тыс. руб.  </w:t>
      </w:r>
      <w:r>
        <w:rPr>
          <w:sz w:val="28"/>
        </w:rPr>
        <w:t>или</w:t>
      </w:r>
      <w:r>
        <w:rPr>
          <w:sz w:val="28"/>
        </w:rPr>
        <w:t xml:space="preserve"> 49,12% от утвержденного годового объема бюджетных назначений.</w:t>
      </w:r>
    </w:p>
    <w:p w14:paraId="C9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1001 – «Пенсионное обеспечение» расходы составили 3361,7 тыс. руб. или 67,2 % от</w:t>
      </w:r>
      <w:r>
        <w:rPr>
          <w:sz w:val="28"/>
        </w:rPr>
        <w:t xml:space="preserve"> утвержденного годового объема бюджетных назначений;</w:t>
      </w:r>
    </w:p>
    <w:p w14:paraId="CA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1002 – «Социальное обслуживание населения» расходы составили 53083,3 тыс. руб. или 56,2 % от утвержденного годового объема бюджетных назначений;</w:t>
      </w:r>
    </w:p>
    <w:p w14:paraId="CB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1003 – «Социальное обеспечение</w:t>
      </w:r>
      <w:r>
        <w:rPr>
          <w:sz w:val="28"/>
        </w:rPr>
        <w:t xml:space="preserve"> населения» расходы составили 6706,5 тыс. руб. или 53,7 % от утвержденного годового объема бюджетных назначений;</w:t>
      </w:r>
    </w:p>
    <w:p w14:paraId="CC000000">
      <w:pPr>
        <w:widowControl w:val="1"/>
        <w:numPr>
          <w:ilvl w:val="0"/>
          <w:numId w:val="15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1004 – «Охрана семьи и детства» расходы составили 40889,1 тыс. руб. или 40,7 % от утвержденного годового объема бюджетных назначе</w:t>
      </w:r>
      <w:r>
        <w:rPr>
          <w:sz w:val="28"/>
        </w:rPr>
        <w:t>ний;</w:t>
      </w:r>
    </w:p>
    <w:p w14:paraId="CD000000">
      <w:pPr>
        <w:widowControl w:val="1"/>
        <w:numPr>
          <w:ilvl w:val="0"/>
          <w:numId w:val="15"/>
        </w:numPr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1006 – «Другие вопросы в области социальной политики» расходы составили 14700,1тыс. руб. или 50,1 % от утвержденного годового объема бюджетных назначений.</w:t>
      </w:r>
    </w:p>
    <w:p w14:paraId="CE000000">
      <w:pPr>
        <w:widowControl w:val="1"/>
        <w:spacing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11 «Физическая культура и спорт» </w:t>
      </w:r>
      <w:r>
        <w:rPr>
          <w:i w:val="1"/>
          <w:sz w:val="28"/>
        </w:rPr>
        <w:t xml:space="preserve">- </w:t>
      </w:r>
      <w:r>
        <w:rPr>
          <w:sz w:val="28"/>
        </w:rPr>
        <w:t>расходы в 1 полугодии 2025 года состав</w:t>
      </w:r>
      <w:r>
        <w:rPr>
          <w:sz w:val="28"/>
        </w:rPr>
        <w:t>или 893,3 тыс. руб. или 53,1% от утвержденного годового объема бюджетных назначений</w:t>
      </w:r>
    </w:p>
    <w:p w14:paraId="CF000000">
      <w:pPr>
        <w:widowControl w:val="1"/>
        <w:numPr>
          <w:ilvl w:val="0"/>
          <w:numId w:val="16"/>
        </w:numPr>
        <w:spacing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1101 – «Физическая культура» расходы составили 807,8 тыс. руб. или 54,3 % от утвержденного годового объема бюджетных назначений;</w:t>
      </w:r>
    </w:p>
    <w:p w14:paraId="D0000000">
      <w:pPr>
        <w:widowControl w:val="1"/>
        <w:numPr>
          <w:ilvl w:val="0"/>
          <w:numId w:val="16"/>
        </w:numPr>
        <w:spacing w:after="12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1102 – «Массовы</w:t>
      </w:r>
      <w:r>
        <w:rPr>
          <w:sz w:val="28"/>
        </w:rPr>
        <w:t>й спорт» расходы составили 85,5 тыс. руб. или 42,1 % от утвержденного годового объема бюджетных назначений.</w:t>
      </w:r>
    </w:p>
    <w:p w14:paraId="D1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 xml:space="preserve">Раздел 12 «Средства массовой информации» - </w:t>
      </w:r>
      <w:r>
        <w:rPr>
          <w:sz w:val="28"/>
        </w:rPr>
        <w:t>расходы в 1 полугодии 2025 года составили 2277,1 тыс. руб. или 57,7% от утвержденного годового объема б</w:t>
      </w:r>
      <w:r>
        <w:rPr>
          <w:sz w:val="28"/>
        </w:rPr>
        <w:t>юджетных назначений</w:t>
      </w:r>
    </w:p>
    <w:p w14:paraId="D2000000">
      <w:pPr>
        <w:widowControl w:val="1"/>
        <w:numPr>
          <w:ilvl w:val="0"/>
          <w:numId w:val="17"/>
        </w:numPr>
        <w:spacing w:after="113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1202 – «Периодическая печать и издательства» расходы составили 2277,1 тыс. руб. или 57,7 % от утвержденного годового объема бюджетных назначений.</w:t>
      </w:r>
    </w:p>
    <w:p w14:paraId="D3000000">
      <w:pPr>
        <w:widowControl w:val="1"/>
        <w:spacing w:after="113" w:line="276" w:lineRule="auto"/>
        <w:ind w:firstLine="360" w:left="0"/>
        <w:jc w:val="both"/>
        <w:rPr>
          <w:sz w:val="28"/>
        </w:rPr>
      </w:pPr>
    </w:p>
    <w:p w14:paraId="D4000000">
      <w:pPr>
        <w:pStyle w:val="Style_5"/>
        <w:widowControl w:val="1"/>
        <w:spacing w:after="120" w:before="12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5</w:t>
      </w:r>
      <w:r>
        <w:rPr>
          <w:b w:val="1"/>
          <w:sz w:val="28"/>
        </w:rPr>
        <w:t>. Выводы.</w:t>
      </w:r>
    </w:p>
    <w:p w14:paraId="D5000000">
      <w:pPr>
        <w:pStyle w:val="Style_5"/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 Крапивинского муниципального округа в 1 полугодии 2025 </w:t>
      </w:r>
      <w:r>
        <w:rPr>
          <w:sz w:val="28"/>
        </w:rPr>
        <w:t>года исполнен в соответствии с требованиями и нормами действующего бюджетного законодательства и нормативными правовыми актами Крапивинского муниципального округа.</w:t>
      </w:r>
    </w:p>
    <w:p w14:paraId="D6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в 1 полугодии 2025 года исполнен</w:t>
      </w:r>
    </w:p>
    <w:p w14:paraId="D7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- по доходам в с</w:t>
      </w:r>
      <w:r>
        <w:rPr>
          <w:sz w:val="28"/>
        </w:rPr>
        <w:t>умме 837000,7 тыс. рублей или 49% от годового объёма утвержд</w:t>
      </w:r>
      <w:bookmarkStart w:id="1" w:name="_GoBack"/>
      <w:bookmarkEnd w:id="1"/>
      <w:r>
        <w:rPr>
          <w:sz w:val="28"/>
        </w:rPr>
        <w:t>ённых доходов, структура исполненных доходов бюджета за 1 полугодие 2025 года: налоговые доходы – 15,76 %; неналоговые доходы – 2,71%; безвозмездные поступления – 81,53%;</w:t>
      </w:r>
    </w:p>
    <w:p w14:paraId="D8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- по расходам в сумме 858</w:t>
      </w:r>
      <w:r>
        <w:rPr>
          <w:sz w:val="28"/>
        </w:rPr>
        <w:t xml:space="preserve">062,1 тыс. руб. или 53,4% от утвержденного годового объема бюджетных назначений. </w:t>
      </w:r>
    </w:p>
    <w:p w14:paraId="D9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за 1 полугодие 2025 года исполнен с дефицитом в размере 21061,4 тыс. рублей.</w:t>
      </w:r>
    </w:p>
    <w:p w14:paraId="DA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B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C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D000000">
      <w:pPr>
        <w:widowControl w:val="1"/>
        <w:spacing w:line="276" w:lineRule="auto"/>
        <w:ind/>
        <w:rPr>
          <w:sz w:val="28"/>
        </w:rPr>
      </w:pPr>
      <w:r>
        <w:rPr>
          <w:sz w:val="28"/>
        </w:rPr>
        <w:t>Председатель контрольно-счетного органа</w:t>
      </w:r>
    </w:p>
    <w:p w14:paraId="DE000000">
      <w:pPr>
        <w:widowControl w:val="1"/>
        <w:spacing w:line="276" w:lineRule="auto"/>
        <w:ind/>
      </w:pPr>
      <w:r>
        <w:rPr>
          <w:sz w:val="28"/>
        </w:rPr>
        <w:t>Крапивинског</w:t>
      </w:r>
      <w:r>
        <w:rPr>
          <w:sz w:val="28"/>
        </w:rPr>
        <w:t>о муниципального округа</w:t>
      </w:r>
      <w:r>
        <w:rPr>
          <w:sz w:val="28"/>
        </w:rPr>
        <w:t xml:space="preserve">       </w:t>
      </w:r>
      <w:r>
        <w:rPr>
          <w:sz w:val="28"/>
        </w:rPr>
        <w:t xml:space="preserve">     </w:t>
      </w:r>
      <w:r>
        <w:t xml:space="preserve">                     </w:t>
      </w:r>
      <w:r>
        <w:rPr>
          <w:sz w:val="28"/>
        </w:rPr>
        <w:t xml:space="preserve">   </w:t>
      </w:r>
      <w:r>
        <w:rPr>
          <w:sz w:val="28"/>
        </w:rPr>
        <w:t>Т.Г.Горюнова</w:t>
      </w:r>
    </w:p>
    <w:sectPr>
      <w:headerReference r:id="rId1" w:type="default"/>
      <w:pgSz w:h="16838" w:orient="portrait" w:w="11906"/>
      <w:pgMar w:bottom="1134" w:footer="709" w:gutter="0" w:header="794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decimal"/>
      <w:lvlText w:val="%1.%2"/>
      <w:lvlJc w:val="left"/>
      <w:pPr>
        <w:widowControl w:val="0"/>
        <w:ind w:hanging="960" w:left="1527"/>
      </w:pPr>
      <w:rPr>
        <w:b w:val="1"/>
      </w:rPr>
    </w:lvl>
    <w:lvl w:ilvl="2">
      <w:start w:val="1"/>
      <w:numFmt w:val="decimal"/>
      <w:lvlText w:val="%1.%2.%3"/>
      <w:lvlJc w:val="left"/>
      <w:pPr>
        <w:widowControl w:val="0"/>
        <w:ind w:hanging="960" w:left="1734"/>
      </w:pPr>
      <w:rPr>
        <w:b w:val="1"/>
      </w:rPr>
    </w:lvl>
    <w:lvl w:ilvl="3">
      <w:start w:val="1"/>
      <w:numFmt w:val="decimal"/>
      <w:lvlText w:val="%1.%2.%3.%4"/>
      <w:lvlJc w:val="left"/>
      <w:pPr>
        <w:widowControl w:val="0"/>
        <w:ind w:hanging="960" w:left="1941"/>
      </w:pPr>
      <w:rPr>
        <w:b w:val="1"/>
      </w:rPr>
    </w:lvl>
    <w:lvl w:ilvl="4">
      <w:start w:val="1"/>
      <w:numFmt w:val="decimal"/>
      <w:lvlText w:val="%1.%2.%3.%4.%5"/>
      <w:lvlJc w:val="left"/>
      <w:pPr>
        <w:widowControl w:val="0"/>
        <w:ind w:hanging="1080" w:left="2268"/>
      </w:pPr>
      <w:rPr>
        <w:b w:val="1"/>
      </w:rPr>
    </w:lvl>
    <w:lvl w:ilvl="5">
      <w:start w:val="1"/>
      <w:numFmt w:val="decimal"/>
      <w:lvlText w:val="%1.%2.%3.%4.%5.%6"/>
      <w:lvlJc w:val="left"/>
      <w:pPr>
        <w:widowControl w:val="0"/>
        <w:ind w:hanging="1080" w:left="2475"/>
      </w:pPr>
      <w:rPr>
        <w:b w:val="1"/>
      </w:rPr>
    </w:lvl>
    <w:lvl w:ilvl="6">
      <w:start w:val="1"/>
      <w:numFmt w:val="decimal"/>
      <w:lvlText w:val="%1.%2.%3.%4.%5.%6.%7"/>
      <w:lvlJc w:val="left"/>
      <w:pPr>
        <w:widowControl w:val="0"/>
        <w:ind w:hanging="1440" w:left="3042"/>
      </w:pPr>
      <w:rPr>
        <w:b w:val="1"/>
      </w:rPr>
    </w:lvl>
    <w:lvl w:ilvl="7">
      <w:start w:val="1"/>
      <w:numFmt w:val="decimal"/>
      <w:lvlText w:val="%1.%2.%3.%4.%5.%6.%7.%8"/>
      <w:lvlJc w:val="left"/>
      <w:pPr>
        <w:widowControl w:val="0"/>
        <w:ind w:hanging="1440" w:left="3249"/>
      </w:pPr>
      <w:rPr>
        <w:b w:val="1"/>
      </w:rPr>
    </w:lvl>
    <w:lvl w:ilvl="8">
      <w:start w:val="1"/>
      <w:numFmt w:val="decimal"/>
      <w:lvlText w:val="%1.%2.%3.%4.%5.%6.%7.%8.%9"/>
      <w:lvlJc w:val="left"/>
      <w:pPr>
        <w:widowControl w:val="0"/>
        <w:ind w:hanging="1800" w:left="3816"/>
      </w:pPr>
      <w:rPr>
        <w:b w:val="1"/>
      </w:rPr>
    </w:lvl>
  </w:abstractNum>
  <w:abstractNum w:abstractNumId="1">
    <w:lvl w:ilvl="0">
      <w:start w:val="1"/>
      <w:numFmt w:val="bullet"/>
      <w:lvlText w:val=""/>
      <w:lvlJc w:val="left"/>
      <w:pPr>
        <w:widowControl w:val="0"/>
        <w:tabs>
          <w:tab w:leader="none" w:pos="780" w:val="left"/>
        </w:tabs>
        <w:ind w:hanging="360" w:left="7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1500" w:val="left"/>
        </w:tabs>
        <w:ind w:hanging="360" w:left="15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2220" w:val="left"/>
        </w:tabs>
        <w:ind w:hanging="360" w:left="22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2940" w:val="left"/>
        </w:tabs>
        <w:ind w:hanging="360" w:left="29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3660" w:val="left"/>
        </w:tabs>
        <w:ind w:hanging="360" w:left="36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4380" w:val="left"/>
        </w:tabs>
        <w:ind w:hanging="360" w:left="43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5100" w:val="left"/>
        </w:tabs>
        <w:ind w:hanging="360" w:left="51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5820" w:val="left"/>
        </w:tabs>
        <w:ind w:hanging="360" w:left="58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6540" w:val="left"/>
        </w:tabs>
        <w:ind w:hanging="360" w:left="654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0"/>
        <w:tabs>
          <w:tab w:leader="none" w:pos="780" w:val="left"/>
        </w:tabs>
        <w:ind w:hanging="360" w:left="78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2007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2727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3447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4167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4887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5607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6327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7047" w:val="left"/>
        </w:tabs>
        <w:ind w:hanging="180" w:left="7047"/>
      </w:pPr>
    </w:lvl>
  </w:abstractNum>
  <w:abstractNum w:abstractNumId="3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abstractNum w:abstractNumId="5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5" w:type="paragraph">
    <w:name w:val="stylet4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stylet4"/>
    <w:basedOn w:val="Style_6_ch"/>
    <w:link w:val="Style_5"/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stylet1"/>
    <w:basedOn w:val="Style_6"/>
    <w:link w:val="Style_2_ch"/>
    <w:pPr>
      <w:widowControl w:val="1"/>
      <w:spacing w:afterAutospacing="on" w:beforeAutospacing="on"/>
      <w:ind/>
    </w:pPr>
  </w:style>
  <w:style w:styleId="Style_2_ch" w:type="character">
    <w:name w:val="stylet1"/>
    <w:basedOn w:val="Style_6_ch"/>
    <w:link w:val="Style_2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  <w:rPr>
      <w:color w:val="000000"/>
      <w:sz w:val="24"/>
    </w:rPr>
  </w:style>
  <w:style w:styleId="Style_15_ch" w:type="character">
    <w:name w:val="Обычный1"/>
    <w:link w:val="Style_15"/>
    <w:rPr>
      <w:color w:val="000000"/>
      <w:sz w:val="24"/>
    </w:rPr>
  </w:style>
  <w:style w:styleId="Style_16" w:type="paragraph">
    <w:name w:val="Document Map"/>
    <w:basedOn w:val="Style_6"/>
    <w:link w:val="Style_16_ch"/>
    <w:rPr>
      <w:rFonts w:ascii="Tahoma" w:hAnsi="Tahoma"/>
      <w:sz w:val="16"/>
    </w:rPr>
  </w:style>
  <w:style w:styleId="Style_16_ch" w:type="character">
    <w:name w:val="Document Map"/>
    <w:basedOn w:val="Style_6_ch"/>
    <w:link w:val="Style_16"/>
    <w:rPr>
      <w:rFonts w:ascii="Tahoma" w:hAnsi="Tahoma"/>
      <w:sz w:val="16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0_ch" w:type="character">
    <w:name w:val="heading 1"/>
    <w:basedOn w:val="Style_6_ch"/>
    <w:link w:val="Style_20"/>
    <w:rPr>
      <w:rFonts w:ascii="Cambria" w:hAnsi="Cambria"/>
      <w:b w:val="1"/>
      <w:sz w:val="32"/>
    </w:rPr>
  </w:style>
  <w:style w:styleId="Style_4" w:type="paragraph">
    <w:name w:val="Body Text"/>
    <w:basedOn w:val="Style_6"/>
    <w:link w:val="Style_4_ch"/>
    <w:pPr>
      <w:widowControl w:val="1"/>
      <w:spacing w:after="120"/>
      <w:ind/>
    </w:pPr>
  </w:style>
  <w:style w:styleId="Style_4_ch" w:type="character">
    <w:name w:val="Body Text"/>
    <w:basedOn w:val="Style_6_ch"/>
    <w:link w:val="Style_4"/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oc 1"/>
    <w:next w:val="Style_6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List Paragraph"/>
    <w:basedOn w:val="Style_6"/>
    <w:link w:val="Style_27_ch"/>
    <w:pPr>
      <w:widowControl w:val="1"/>
      <w:ind w:left="708"/>
    </w:pPr>
  </w:style>
  <w:style w:styleId="Style_27_ch" w:type="character">
    <w:name w:val="List Paragraph"/>
    <w:basedOn w:val="Style_6_ch"/>
    <w:link w:val="Style_27"/>
  </w:style>
  <w:style w:styleId="Style_28" w:type="paragraph">
    <w:name w:val="toc 9"/>
    <w:next w:val="Style_6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Оглавление 8 Знак"/>
    <w:link w:val="Style_29_ch"/>
    <w:rPr>
      <w:rFonts w:ascii="XO Thames" w:hAnsi="XO Thames"/>
      <w:sz w:val="28"/>
    </w:rPr>
  </w:style>
  <w:style w:styleId="Style_29_ch" w:type="character">
    <w:name w:val="Оглавление 8 Знак"/>
    <w:link w:val="Style_29"/>
    <w:rPr>
      <w:rFonts w:ascii="XO Thames" w:hAnsi="XO Thames"/>
      <w:sz w:val="28"/>
    </w:rPr>
  </w:style>
  <w:style w:styleId="Style_30" w:type="paragraph">
    <w:name w:val="toc 8"/>
    <w:next w:val="Style_6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footer"/>
    <w:basedOn w:val="Style_6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6_ch"/>
    <w:link w:val="Style_31"/>
  </w:style>
  <w:style w:styleId="Style_32" w:type="paragraph">
    <w:name w:val="Гиперссылка2"/>
    <w:link w:val="Style_32_ch"/>
    <w:rPr>
      <w:color w:val="0000FF"/>
      <w:u w:val="single"/>
    </w:rPr>
  </w:style>
  <w:style w:styleId="Style_32_ch" w:type="character">
    <w:name w:val="Гиперссылка2"/>
    <w:link w:val="Style_32"/>
    <w:rPr>
      <w:color w:val="0000FF"/>
      <w:u w:val="single"/>
    </w:rPr>
  </w:style>
  <w:style w:styleId="Style_33" w:type="paragraph">
    <w:name w:val="toc 5"/>
    <w:next w:val="Style_6"/>
    <w:link w:val="Style_33_ch"/>
    <w:uiPriority w:val="39"/>
    <w:pPr>
      <w:widowControl w:val="1"/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Subtitle"/>
    <w:next w:val="Style_6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Body Text 3"/>
    <w:basedOn w:val="Style_6"/>
    <w:link w:val="Style_36_ch"/>
    <w:pPr>
      <w:widowControl w:val="1"/>
      <w:ind/>
      <w:jc w:val="both"/>
    </w:pPr>
    <w:rPr>
      <w:spacing w:val="20"/>
      <w:sz w:val="28"/>
    </w:rPr>
  </w:style>
  <w:style w:styleId="Style_36_ch" w:type="character">
    <w:name w:val="Body Text 3"/>
    <w:basedOn w:val="Style_6_ch"/>
    <w:link w:val="Style_36"/>
    <w:rPr>
      <w:spacing w:val="20"/>
      <w:sz w:val="28"/>
    </w:rPr>
  </w:style>
  <w:style w:styleId="Style_37" w:type="paragraph">
    <w:name w:val="Balloon Text"/>
    <w:basedOn w:val="Style_6"/>
    <w:link w:val="Style_37_ch"/>
    <w:rPr>
      <w:rFonts w:ascii="Tahoma" w:hAnsi="Tahoma"/>
      <w:sz w:val="16"/>
    </w:rPr>
  </w:style>
  <w:style w:styleId="Style_37_ch" w:type="character">
    <w:name w:val="Balloon Text"/>
    <w:basedOn w:val="Style_6_ch"/>
    <w:link w:val="Style_37"/>
    <w:rPr>
      <w:rFonts w:ascii="Tahoma" w:hAnsi="Tahoma"/>
      <w:sz w:val="16"/>
    </w:rPr>
  </w:style>
  <w:style w:styleId="Style_38" w:type="paragraph">
    <w:name w:val="Title"/>
    <w:next w:val="Style_6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6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2024-04-22T08:37:00Z</dcterms:created>
  <dcterms:modified xsi:type="dcterms:W3CDTF">2025-08-06T04:31:11Z</dcterms:modified>
</cp:coreProperties>
</file>