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0"/>
        <w:jc w:val="left"/>
        <w:rPr>
          <w:rFonts w:ascii="Times New Roman" w:hAnsi="Times New Roman"/>
          <w:sz w:val="28"/>
        </w:rPr>
      </w:pPr>
    </w:p>
    <w:p w14:paraId="06000000">
      <w:pPr>
        <w:widowControl w:val="1"/>
        <w:ind w:firstLine="0"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07000000">
      <w:pPr>
        <w:widowControl w:val="1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>к р</w:t>
      </w:r>
      <w:r>
        <w:rPr>
          <w:rFonts w:ascii="Times New Roman" w:hAnsi="Times New Roman"/>
        </w:rPr>
        <w:t>ешени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Совета народных депутатов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Крапивинского</w:t>
      </w:r>
      <w:r>
        <w:rPr>
          <w:rFonts w:ascii="Times New Roman" w:hAnsi="Times New Roman"/>
        </w:rPr>
        <w:t xml:space="preserve"> муниципального округа</w:t>
      </w:r>
    </w:p>
    <w:p w14:paraId="08000000">
      <w:pPr>
        <w:widowControl w:val="1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30.03.2026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120</w:t>
      </w:r>
    </w:p>
    <w:p w14:paraId="09000000">
      <w:pPr>
        <w:widowControl w:val="1"/>
        <w:ind w:firstLine="0" w:left="5387"/>
        <w:rPr>
          <w:rFonts w:ascii="Times New Roman" w:hAnsi="Times New Roman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ПОХОРОННОМ ДЕЛЕ, ОБ ОРГАНИЗАЦИИ </w:t>
      </w:r>
      <w:r>
        <w:rPr>
          <w:rFonts w:ascii="Times New Roman" w:hAnsi="Times New Roman"/>
          <w:sz w:val="28"/>
        </w:rPr>
        <w:t>РИТУАЛЬНЫХ УСЛУГ И СОДЕРЖАНИЯ МЕСТ ЗАХОРОЕНИЯ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0D000000">
      <w:pPr>
        <w:rPr>
          <w:rFonts w:ascii="Times New Roman" w:hAnsi="Times New Roman"/>
          <w:sz w:val="28"/>
        </w:rPr>
      </w:pP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Правовая основа настоящего Положения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1.1.1.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каждому человеку после его смерти гарантируется погребение с учетом его волеизъявления, предоставление бесплатно участка земли для погребения тела (останков) или праха в соответствии с действующим законодательством.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1.1.2. Положение о похоронном деле, об организации ритуальных услуг и содержания мест захоронения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(далее – Положение) разработано 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Федеральным законом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"http://pravo.minjust.ru/"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от 12.12.1996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№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8-ФЗ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«О погребении и похоронном деле», Федеральным законом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"http://nla-service.minjust.ru:8080/rnla-links/ws/content/act/96e20c02-1b12-465a-b64c-24aa92270007.html" \o "Об общих принципах организации местного самоуправления в Российской Федерации"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от 06.10.2003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№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131-ФЗ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color w:themeColor="text1" w:val="000000"/>
          <w:sz w:val="28"/>
        </w:rPr>
        <w:t xml:space="preserve"> Законом Кемеровской области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"http://nla-service.minjust.ru:8080/rnla-links/ws/content/act/168ae883-514b-4a44-8ef2-1818ebd4d8c1.html"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от 07.12.2018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№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104-ОЗ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«О некоторых вопросах в сфере погребения и похоронного дела в </w:t>
      </w:r>
      <w:r>
        <w:rPr>
          <w:rFonts w:ascii="Times New Roman" w:hAnsi="Times New Roman"/>
          <w:sz w:val="28"/>
        </w:rPr>
        <w:t>Кемеровской области»,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СанПиН 2.1.</w:t>
      </w:r>
      <w:r>
        <w:rPr>
          <w:rFonts w:ascii="Times New Roman" w:hAnsi="Times New Roman"/>
          <w:sz w:val="28"/>
        </w:rPr>
        <w:t>3684</w:t>
      </w:r>
      <w:r>
        <w:rPr>
          <w:rFonts w:ascii="Times New Roman" w:hAnsi="Times New Roman"/>
          <w:sz w:val="28"/>
        </w:rPr>
        <w:t xml:space="preserve">-11 «Гигиенические требования к размещению, устройству и содержанию кладбищ, зданий и сооружений похоронного назначения» и регулирует отношения, связанные с оказанием ритуальных услуг, устройством и содержанием мест захоронения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1.1.3. Соблюдение настоящего Положения обязательно для всех физических лиц (индивидуальных предпринимателей) и юридических лиц, независимо от формы собственности и ведомственной принадлежности.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Основные понятия и термины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1.2.1. В данном Положении используются следующие понятия: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Похоронное дело - деятельность по оказанию услуг по погребению, обрядовых, юридических, производствен</w:t>
      </w:r>
      <w:r>
        <w:rPr>
          <w:rFonts w:ascii="Times New Roman" w:hAnsi="Times New Roman"/>
          <w:sz w:val="28"/>
        </w:rPr>
        <w:t>ных и иных сопутствующих услуг,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связанных с созданием и эксплуатацией объектов похоронного назначения, а также организацией и проведением процедуры погребения.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Похороны - обряд погребения останков или праха.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Волеизъявление лица о достойном отношении к его телу после смерти (далее - волеизъявление умершего) - пожелание, выраженное в устной форме в присутствии свидетелей или в письменной форме: о согласии или несогласии быть подвергнутым патологоанатомическому вскрытию; о согласии или несогласии на изъятие органов и (или) тканей из его тела; быть погребенным на том или ином месте, по тем или иным обычаям или традициям, рядом с теми или иными ранее умершими; быть подвергнутым кремации; о доверии исполнить свое волеизъявление тому или иному лицу.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Исполнители волеизъявления умершего - лица, указанные в его волеизъявлении, при их согласии взять на себя обязанность исполнить волеизъявление умершего. В случае отказа их от исполнения волеизъявления умершего либо отсутствия в волеизъявлении указания на исполнителей, ими могут стать супруг (а), близкие родственники (дети, родители, усыновленные, усыновители, родные братья или сестры, внуки, дедушка, бабушка) иные родственники либо законные представители умершего. В случае мотивированного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Погребение - обрядовое действие по захоронению тела (останков) человека после его смерти в соответствии с обычаями и традициями, не противоречащими санитарным и иным требо</w:t>
      </w:r>
      <w:r>
        <w:rPr>
          <w:rFonts w:ascii="Times New Roman" w:hAnsi="Times New Roman"/>
          <w:sz w:val="28"/>
        </w:rPr>
        <w:t>ваниям.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погребения -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а также иными зданиями и сооружениями, предназначенными для осуществления погребения умерших.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Захоронение - погребенные останки или прах.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Захоронение по индивидуальному заказу - захоронение с установкой стел, обелисков, памятников, оградок, выполненных по индивидуальному заказу.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Могила - углубление в земле для захоронения гроба или урн с прахом.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Кладбище - градостроительный комплекс или объект, содержащий места (территории) для погребения умерших.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осуществляющие захоронение - лица, которым в письменной форме выдано разрешение для проведения захоронения.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почетных захоронений - место захоронения почетных лиц.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Семейное (родовое) захоронение - отведенные в соответствии с эстетическими, санитарными и экологическими требованиями и правилами отделенные участки земли на общественных кладбищах для захоронения тел (останков, праха) умерших близких родственников.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Традиционное захоронение - индивидуальные могилы с холмами, высотой не более 0,7 м, мемориальными плитами, памятниками, установленными в пределах бесплатно предоставленного участка земли. Внутри оградок допускается установка небольших скамеек и столиков.</w:t>
      </w: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Надмогильные сооружения - памятные сооружения, устанавливаемые на могилах: памятники, стелы, обелиски, кресты и т.п.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захоронений - запись о захоронении умершего в регистрационной книге на основании свидетельства о смерти и талона на земельный участок для захоронения, осуществляемая в конторе кладбища и содержащая фамилию, имя, отчество умершего, даты его рождения и смерти, дату захоронения, номера квартала, сектора, где захоронено тело (останки).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Регистрационный знак - табличка с указанием фамилии, имени и отчества захороненного, дат его рождения и смерти.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смерти - медицинский, юридический и учетный документ, удостоверяющий факт и причину смерти и являющийся источником информации для государственной статистики причин смерти и основанием для оформления документов на погребение.</w:t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Социальное пособие на погребение - пособие, выплачиваемое для компенсации расходов на погребение умерших лицам, взявшим на себя обязанность осуществлять погребение.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Невостребованный умерший - умерший,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смерти.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Неопознанный умерший - умерший, личность которого не установлена органами внутренних дел в определенные законодательством Российской Федерации сроки.</w:t>
      </w:r>
    </w:p>
    <w:p w14:paraId="2A000000">
      <w:pPr>
        <w:widowControl w:val="1"/>
        <w:spacing w:after="120" w:before="120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УСЛУГ ПО ПОГРЕБЕНИЮ</w:t>
      </w: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Специализированная служба по вопросам похоронного дела</w:t>
      </w:r>
      <w:r>
        <w:rPr>
          <w:rFonts w:ascii="Times New Roman" w:hAnsi="Times New Roman"/>
          <w:sz w:val="28"/>
        </w:rPr>
        <w:t>: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Администрация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создает специализированную службу по вопросам похоронного дела, на которую в соответствии с федеральным законодательством возлагается обязанность по: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исполнению волеизъявления умершего;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определению возможности исполнения волеизъявления умершего о погребении;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оказанию на безвозмездной основе гарантированного перечня услуг по погребению;</w:t>
      </w:r>
    </w:p>
    <w:p w14:paraId="3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погребению </w:t>
      </w:r>
      <w:r>
        <w:rPr>
          <w:rFonts w:ascii="Times New Roman" w:hAnsi="Times New Roman"/>
          <w:sz w:val="28"/>
        </w:rPr>
        <w:t>погибших (умерших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не имеющих супруга, близких родственников, иных родственников либо законного представителя умершего;</w:t>
      </w:r>
    </w:p>
    <w:p w14:paraId="3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погребению умершего и оказание услуг по погребению;</w:t>
      </w:r>
    </w:p>
    <w:p w14:paraId="3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осуществлению погребения умершего.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2.1.2. Создание и порядок деятельности специализированной службы по вопросам похоронного дела определяется правовым актом администрации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Захоронение умершего, личность которого не установлена органами внутренних дел, осуществляется в течение десяти дней (или в иные сроки, установленные нормативами) с момента обнаружения тела, а также личность которых установлена, но не востребована в силу каких-либо причин, осуществляется после проведения всех необходимых мероприятий, путем захоронения на специально отведенном участке кладбища согласно действующим нормативам.</w:t>
      </w:r>
    </w:p>
    <w:p w14:paraId="3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2.1.4. Специализированная служба оказывает услуги согласно утвержденным прейскурантам, которые вывешиваются в месте приема заказов. Прейскурант минимального гарантированного перечня ритуальных услуг утверждается правовым актом администрации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Субъекты, оказывающие услуги по погребению</w:t>
      </w:r>
      <w:r>
        <w:rPr>
          <w:rFonts w:ascii="Times New Roman" w:hAnsi="Times New Roman"/>
          <w:sz w:val="28"/>
        </w:rPr>
        <w:t>:</w:t>
      </w:r>
    </w:p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Ритуальные услуги по погребению могут оказывать: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специализированная служба по вопросам похоронного дела;</w:t>
      </w:r>
    </w:p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индивидуальные предприниматели;</w:t>
      </w:r>
    </w:p>
    <w:p w14:paraId="3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юридические лица независимо от организационно-правовой формы.</w:t>
      </w:r>
    </w:p>
    <w:p w14:paraId="3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Услуги по погребению и их стоимость</w:t>
      </w:r>
      <w:r>
        <w:rPr>
          <w:rFonts w:ascii="Times New Roman" w:hAnsi="Times New Roman"/>
          <w:sz w:val="28"/>
        </w:rPr>
        <w:t>: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2.3.1. К услугам по погребению (ритуальным услугам) относятся услуги, связанные с проведением обряда, а именно: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оформление документов, необходимых для погребения;</w:t>
      </w: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и доставка гроба и других предметов, необходимых для погребения;</w:t>
      </w:r>
    </w:p>
    <w:p w14:paraId="3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перевозка тела (останков) умершего на кладбище;</w:t>
      </w:r>
    </w:p>
    <w:p w14:paraId="4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погребение;</w:t>
      </w:r>
    </w:p>
    <w:p w14:paraId="4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изготовление гробов, других похоронных принадлежностей;</w:t>
      </w:r>
    </w:p>
    <w:p w14:paraId="4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облачение невостребованного или неопознанного тела;</w:t>
      </w:r>
    </w:p>
    <w:p w14:paraId="4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санитарная и косметическая обработка тела умершего;</w:t>
      </w:r>
    </w:p>
    <w:p w14:paraId="4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изготовление и установка надмогильных сооружений;</w:t>
      </w:r>
    </w:p>
    <w:p w14:paraId="4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изготовление надписей на памятнике;</w:t>
      </w:r>
    </w:p>
    <w:p w14:paraId="4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изготовление и крепление портретов, табличек на памятниках;</w:t>
      </w:r>
    </w:p>
    <w:p w14:paraId="4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уход за местами погребения и захоронения;</w:t>
      </w:r>
    </w:p>
    <w:p w14:paraId="4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услуги.</w:t>
      </w:r>
    </w:p>
    <w:p w14:paraId="4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</w:t>
      </w:r>
      <w:r>
        <w:rPr>
          <w:rFonts w:ascii="Times New Roman" w:hAnsi="Times New Roman"/>
          <w:sz w:val="28"/>
        </w:rPr>
        <w:t>следующих</w:t>
      </w:r>
      <w:r>
        <w:rPr>
          <w:rFonts w:ascii="Times New Roman" w:hAnsi="Times New Roman"/>
          <w:sz w:val="28"/>
        </w:rPr>
        <w:t xml:space="preserve"> услуг:</w:t>
      </w:r>
    </w:p>
    <w:p w14:paraId="4A000000">
      <w:pPr>
        <w:widowControl w:val="1"/>
        <w:ind w:firstLine="0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659"/>
        <w:gridCol w:w="8118"/>
      </w:tblGrid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4C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8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8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8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 доставка гроба и других предметов, необходимых для погребения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8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Перевозка тела (останков) умершего на кладбище (в крематорий)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8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Погребение (кремация с последующей выдачей урны с прахом)</w:t>
            </w:r>
          </w:p>
        </w:tc>
      </w:tr>
    </w:tbl>
    <w:p w14:paraId="56000000">
      <w:pPr>
        <w:widowControl w:val="1"/>
        <w:spacing w:before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услуг гарантированного перечня устанавливается нормативным правовым актом администрации Крапивинского муниципального округа.</w:t>
      </w:r>
    </w:p>
    <w:p w14:paraId="5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</w:t>
      </w:r>
      <w:r>
        <w:rPr>
          <w:rFonts w:ascii="Times New Roman" w:hAnsi="Times New Roman"/>
          <w:sz w:val="28"/>
        </w:rPr>
        <w:t>и, оказываемые</w:t>
      </w:r>
      <w:r>
        <w:rPr>
          <w:rFonts w:ascii="Times New Roman" w:hAnsi="Times New Roman"/>
          <w:sz w:val="28"/>
        </w:rPr>
        <w:t xml:space="preserve"> специализированной службой по вопросам похоронного дела при погребении умерших, при отсутствии супруга, близких родственников, иных родственников либо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"http://pravo.minjust.ru/"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законного представителя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законодательством Российском Федерации, в соответствии</w:t>
      </w:r>
      <w:r>
        <w:rPr>
          <w:rFonts w:ascii="Times New Roman" w:hAnsi="Times New Roman"/>
          <w:sz w:val="28"/>
        </w:rPr>
        <w:t xml:space="preserve"> с перечнем услуг по погребению, </w:t>
      </w:r>
      <w:r>
        <w:rPr>
          <w:rFonts w:ascii="Times New Roman" w:hAnsi="Times New Roman"/>
          <w:sz w:val="28"/>
        </w:rPr>
        <w:t>указанному</w:t>
      </w:r>
      <w:r>
        <w:rPr>
          <w:rFonts w:ascii="Times New Roman" w:hAnsi="Times New Roman"/>
          <w:sz w:val="28"/>
        </w:rPr>
        <w:t xml:space="preserve"> в пункте 2.4. настоящего приложения.</w:t>
      </w:r>
    </w:p>
    <w:p w14:paraId="5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Выплата социального пособия на погребение производится в день обращения на основании справки о смерти:</w:t>
      </w:r>
    </w:p>
    <w:p w14:paraId="5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органом, в котором умерший получал пенсию;</w:t>
      </w:r>
    </w:p>
    <w:p w14:paraId="5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организацией (иным работодателем),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(иному законному представителю) или иному члену семьи умершего несовершеннолетнего на день смерти этого несовершеннолетнего;</w:t>
      </w:r>
    </w:p>
    <w:p w14:paraId="5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органом социальной защиты населения по месту жительства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</w:p>
    <w:p w14:paraId="5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территориальным органом Фонда социального страхования Российской Федерации, в котором был зарегистрирован в качестве страхователя умерший на день смерти либо зарегистрирован в качестве страхователя один из родителей (иной законный представитель) или иной член семьи умершего несовершеннолетнего на день смерти этого несовершеннолетнего.</w:t>
      </w:r>
    </w:p>
    <w:p w14:paraId="5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Социальное пособие на погребение выплачивается, если обращение за ним последовало не позднее шести месяцев со дня смерти.</w:t>
      </w:r>
    </w:p>
    <w:p w14:paraId="5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</w:t>
      </w:r>
      <w:r>
        <w:rPr>
          <w:rFonts w:ascii="Times New Roman" w:hAnsi="Times New Roman"/>
          <w:sz w:val="28"/>
        </w:rPr>
        <w:t xml:space="preserve">Оплата стоимости услуг, предоставляемых сверх гарантированного перечня услуг по погребению, производится за счет средств супруга, близких родственников, иных родственников, законного </w:t>
      </w:r>
      <w:r>
        <w:rPr>
          <w:rFonts w:ascii="Times New Roman" w:hAnsi="Times New Roman"/>
          <w:sz w:val="28"/>
        </w:rPr>
        <w:t>представителя умершего или иного лица, взявшего на себя обязанность осуществить погребение умершего.</w:t>
      </w:r>
    </w:p>
    <w:p w14:paraId="5F000000">
      <w:pPr>
        <w:widowControl w:val="1"/>
        <w:spacing w:after="120" w:before="1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МЕСТА ПОГРЕБЕНИЯ И ПРАВИЛА ИХ СОДЕРЖАНИЯ</w:t>
      </w:r>
    </w:p>
    <w:p w14:paraId="6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Создание и закрытие мест погребения</w:t>
      </w:r>
      <w:r>
        <w:rPr>
          <w:rFonts w:ascii="Times New Roman" w:hAnsi="Times New Roman"/>
          <w:sz w:val="28"/>
        </w:rPr>
        <w:t>:</w:t>
      </w:r>
    </w:p>
    <w:p w14:paraId="6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3.1.1. Решение о создании и закрытии мест погребения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принимается правовым актом администрации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6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3.1.2. Решение об отводе земельного участка для размещения места погребения принимается правовым актом администрации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с учетом требований земельного законодательства, санитарных, гигиенических требований к размещению, устройству и содержанию кладбищ, зданий и сооружений похоронного назначения.</w:t>
      </w:r>
    </w:p>
    <w:p w14:paraId="6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3.1.3. Существующие,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создаваемые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погребения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подлежат сносу и могут быть перенесены только на основании правового акта администрации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в случае угрозы постоянных затоплений и других стихийных бедствий.</w:t>
      </w:r>
    </w:p>
    <w:p w14:paraId="6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3.1.4. Погребение рядом с ранее умершими осуществляется при наличии свободного участка земли и при согласии ответственного за данное захоронение лица, а при захоронении в могилу возможности соблюдения санитарно-эпидемиологических норм.</w:t>
      </w:r>
    </w:p>
    <w:p w14:paraId="6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Виды и порядок деятельности мест погребения</w:t>
      </w:r>
      <w:r>
        <w:rPr>
          <w:rFonts w:ascii="Times New Roman" w:hAnsi="Times New Roman"/>
          <w:sz w:val="28"/>
        </w:rPr>
        <w:t>:</w:t>
      </w:r>
    </w:p>
    <w:p w14:paraId="6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по обычаям могут быть созданы следующие виды мест погребения:</w:t>
      </w:r>
    </w:p>
    <w:p w14:paraId="6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общественные кладбища - кладбища, предназначенные для погребения умерших с учетом их волеизъявления либо по решению специализированной службы по вопросам похоронного дела;</w:t>
      </w:r>
    </w:p>
    <w:p w14:paraId="6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вероисповедальные кладбища - кладбища, предназначенные для погребения умерших одной веры;</w:t>
      </w:r>
    </w:p>
    <w:p w14:paraId="6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воинские кладбища - кладбища, предназначенные для погребения </w:t>
      </w:r>
      <w:r>
        <w:rPr>
          <w:rFonts w:ascii="Times New Roman" w:hAnsi="Times New Roman"/>
          <w:sz w:val="28"/>
        </w:rPr>
        <w:t>погибших (умерших»)</w:t>
      </w:r>
      <w:r>
        <w:rPr>
          <w:rFonts w:ascii="Times New Roman" w:hAnsi="Times New Roman"/>
          <w:sz w:val="28"/>
        </w:rPr>
        <w:t xml:space="preserve">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войны, лиц, уволенных с военной службы (службы), если это не противоречит волеизъявлению указанных лиц или пожеланию супруга, близких родственников или иных родственников.</w:t>
      </w:r>
    </w:p>
    <w:p w14:paraId="6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3.2.2 Кладбища, расположенные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округа, являются муниципальной собственностью и закреплены на праве оперативного управления или ином праве в соответствии с действующим законодательством за уполномоченным органом по организации похоронного дела, которое организует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обслуживание кладбищ и обеспечивает правила их содержания.</w:t>
      </w:r>
    </w:p>
    <w:p w14:paraId="6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Учет захоронений и контроль за ведением учета захоронений</w:t>
      </w:r>
      <w:r>
        <w:rPr>
          <w:rFonts w:ascii="Times New Roman" w:hAnsi="Times New Roman"/>
          <w:sz w:val="28"/>
        </w:rPr>
        <w:t>:</w:t>
      </w:r>
    </w:p>
    <w:p w14:paraId="6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3.3.1. Каждое захоронение на территории подлежит регистрации уполномоченным органом по организации похоронного дела, путем внесения в регистрационную книгу записи о захоронении умершего, установленной формы.</w:t>
      </w:r>
    </w:p>
    <w:p w14:paraId="6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3.3.2. Для оформления захоронения родственник или ответственный за захоронение обращается в уполномоченный орган по вопросам организации похоронного дела, где на основании предъявленного свидетельства о смерти оформляется счет-заказ на похоронное обслуживание и выделяется участок для захоронения.</w:t>
      </w:r>
    </w:p>
    <w:p w14:paraId="6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3.3.3. Каждое захоронение регистрируется в «Книге регистрации захоронений», и делается отметка на разбивочном чертеже кладбища.</w:t>
      </w:r>
    </w:p>
    <w:p w14:paraId="6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3.3.4. Уполномоченный орган по вопросам организации похоронного дела обязан вести две книги:</w:t>
      </w:r>
    </w:p>
    <w:p w14:paraId="7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регистрации захоронения умерших;</w:t>
      </w:r>
    </w:p>
    <w:p w14:paraId="7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регистрации захоронения неопознанных умерших.</w:t>
      </w:r>
    </w:p>
    <w:p w14:paraId="7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3.3.5. В регистрационную книгу вносится запись, которая должна содержать следующие сведения:</w:t>
      </w:r>
    </w:p>
    <w:p w14:paraId="7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год, месяц и число погребения;</w:t>
      </w:r>
    </w:p>
    <w:p w14:paraId="7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номер сектора (участка), ряда и могилы;</w:t>
      </w:r>
    </w:p>
    <w:p w14:paraId="7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 умершего;</w:t>
      </w:r>
    </w:p>
    <w:p w14:paraId="7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год, месяц, число рождения и смерти;</w:t>
      </w:r>
    </w:p>
    <w:p w14:paraId="7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свидетельство о смерти (или медицинское свидетельство о смерти);</w:t>
      </w:r>
    </w:p>
    <w:p w14:paraId="7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 и адрес лица, взявшего на себя обязанность по захоронению и на которое зарегистрировано удостоверение о захоронении (лицо, на которое зарегистрировано место захоронения);</w:t>
      </w:r>
    </w:p>
    <w:p w14:paraId="7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проводившая захоронение.</w:t>
      </w:r>
    </w:p>
    <w:p w14:paraId="7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3.3.6. Книги регистрации захоронений являются документами строгой отчетности и хранятся в архиве уполномоченного органа по вопросам организации похоронного дела, сто лет 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последнего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захоронения на этом кладбище.</w:t>
      </w:r>
    </w:p>
    <w:p w14:paraId="7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3.3.7. Книга регистрации захоронений хранится в недоступном для посторонних лиц месте (сейфе, металлическом шкафу).</w:t>
      </w:r>
    </w:p>
    <w:p w14:paraId="7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3.3.8. Гражданам (организациям), взявшим на себя обязанность по захоронению умершего, выдается удостоверение о захоронении (с указанием в нем места расположения земельного участка, его размера с выносом и закреплением участка в натуре, а также лица, на которое зарегистрировано место захоронения), а также регистрационный знак.</w:t>
      </w:r>
    </w:p>
    <w:p w14:paraId="7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3.3.9. Ответственность за ведение и сохранность книги регистрации захоронений возлагается на уполномоченный орган по организации похоронного дела.</w:t>
      </w:r>
    </w:p>
    <w:p w14:paraId="7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3.3.10. Перерегистрация захоронения на другое лицо рассматривается уполномоченным органом по вопросам организации похоронного дела. С согласия лица, на которое зарегистрировано место </w:t>
      </w:r>
      <w:r>
        <w:rPr>
          <w:rFonts w:ascii="Times New Roman" w:hAnsi="Times New Roman"/>
          <w:sz w:val="28"/>
        </w:rPr>
        <w:t>захоронения, удостоверение может быть перерегистрировано на другое лицо.</w:t>
      </w:r>
    </w:p>
    <w:p w14:paraId="7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3.3.11. Форма регистрационной книги устанавливается настоящим Положением (приложение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.</w:t>
      </w:r>
    </w:p>
    <w:p w14:paraId="8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3.3.12. Контроль за ведением учета захоронений осуществляет уполномоченный орган по вопросам организации похоронного дела.</w:t>
      </w:r>
    </w:p>
    <w:p w14:paraId="8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3.3.13. Погребение производится в соответствии с санитарными правилами не ранее чем через 24 часа с момента установления причины смерти, на основании предъявленного свидетельства о смерти, выданного органами ЗАГСа, и талона на земельный участок для захоронения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установленного настоящим Положением (приложение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2).</w:t>
      </w:r>
    </w:p>
    <w:p w14:paraId="8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3.3.14. Погребение неопознанных умерших осуществляется специализированной службой по вопросам похоронного дела по истечении трех суток с момента завершения органами внутренних дел всех необходимых мероприятий для возможности последующей идентификации личности.</w:t>
      </w:r>
    </w:p>
    <w:p w14:paraId="8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3.3.15. Погребение невостребованного умершего осуществляется специализированной службой по вопросам похоронного дела после установления органами внутренних дел его личности в течение трех суток с момента установления причины смерти, если иное не предусмотрено федеральным законодательством.</w:t>
      </w:r>
    </w:p>
    <w:p w14:paraId="8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3.3.16. Захоронение в родственные могилы допускается в пределах имеющегося участка по истечении кладбищенского периода с разрешения уполномоченного органа по вопросам организации похоронного дела по письменному заявлению граждан, на которых зарегистрирована могила. Кладбищенский период составляет 25 лет.</w:t>
      </w:r>
    </w:p>
    <w:p w14:paraId="8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3.3.17. На свободном месте родственного участка захоронение разрешается уполномоченным органом по вопросам организации похоронного дела по письменному заявлению гражданина, на которого зарегистрирована могила, находящаяся на этом участке.</w:t>
      </w:r>
    </w:p>
    <w:p w14:paraId="8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3.3.18. Захоронение в родственные могилы,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архивных документов, или на свободные места в оградах с такими могилами производится с разрешения уполномоченного органа по вопросам организации похоронного дела на основании письменных заявлений близких родственников (степень их родства подтверждается соответствующими документами) при предъявлении гражданами документов, подтверждающих существующее захоронение.</w:t>
      </w:r>
    </w:p>
    <w:p w14:paraId="8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3.3.19. Перезахоронение останков умерших допускается производить не ранее одного года с момента погребения. Эксгумацию останков желательно производить в зимнее время, по решению органов исполнительной власти и заключения органов Госсанэпиднадзора об отсутствии особо опасных инфекционных заболеваний, и органов внутренних дел. Исключение допускается, когда эксгумация останков производится по требованию следственных органов. Могила после </w:t>
      </w:r>
      <w:r>
        <w:rPr>
          <w:rFonts w:ascii="Times New Roman" w:hAnsi="Times New Roman"/>
          <w:sz w:val="28"/>
        </w:rPr>
        <w:t>извлечения останков немедленно засыпается и поверхность почвы планируется.</w:t>
      </w:r>
    </w:p>
    <w:p w14:paraId="8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3.3.20. Захоронение умерших от инфекций неясной этиологии, а также от особо опасных инфекций (умерших в лечебных учреждениях или поступивших в патологоанатомическое отделение для вскрытия) в целях предотвращения распространения особо опасных инфекционных заболеваний совершается в оцинкованных, герметически запаянных гробах непосредственно из патолого-анатомического отделения.</w:t>
      </w:r>
    </w:p>
    <w:p w14:paraId="8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3.3.21. Захоронение умерших, имеющих высокий радиоактивный фон, допускается на специально отведенном участке кладбища, в соо</w:t>
      </w:r>
      <w:r>
        <w:rPr>
          <w:rFonts w:ascii="Times New Roman" w:hAnsi="Times New Roman"/>
          <w:sz w:val="28"/>
        </w:rPr>
        <w:t>тветствии с законодательством Российской Федерации</w:t>
      </w:r>
      <w:r>
        <w:rPr>
          <w:rFonts w:ascii="Times New Roman" w:hAnsi="Times New Roman"/>
          <w:sz w:val="28"/>
        </w:rPr>
        <w:t xml:space="preserve"> по вопросам радиационной безопасности.</w:t>
      </w:r>
    </w:p>
    <w:p w14:paraId="8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Функциональные зоны кладбищ</w:t>
      </w:r>
      <w:r>
        <w:rPr>
          <w:rFonts w:ascii="Times New Roman" w:hAnsi="Times New Roman"/>
          <w:sz w:val="28"/>
        </w:rPr>
        <w:t>:</w:t>
      </w:r>
    </w:p>
    <w:p w14:paraId="8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Территория кладбища подразделяется на функциональные зоны:</w:t>
      </w:r>
    </w:p>
    <w:p w14:paraId="8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входная зона. Во входной зоне должны быть предусмотрены раздельные въезд-выезд для автотранспорта и вход-выход для посетителей, </w:t>
      </w:r>
    </w:p>
    <w:p w14:paraId="8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автостоянка;</w:t>
      </w:r>
    </w:p>
    <w:p w14:paraId="8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административно-хозяйственная зона;</w:t>
      </w:r>
    </w:p>
    <w:p w14:paraId="8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зона захоронений. Зона захоронений является основной функциональной частью кладбища и делится на секторы. Номера секторов указываются на табличках, устанавливаемых на углах секторов;</w:t>
      </w:r>
    </w:p>
    <w:p w14:paraId="9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зона зеленой защиты по периметру кладбища.</w:t>
      </w:r>
    </w:p>
    <w:p w14:paraId="9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Оборудование территории кладбищ</w:t>
      </w:r>
      <w:r>
        <w:rPr>
          <w:rFonts w:ascii="Times New Roman" w:hAnsi="Times New Roman"/>
          <w:sz w:val="28"/>
        </w:rPr>
        <w:t>:</w:t>
      </w:r>
    </w:p>
    <w:p w14:paraId="9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3.5.1. В соответствии с федеральным законодательством, законодательством Кемеровской области, гигиеническими требованиями к размещению, устройству и содержанию кладбищ на территории кладбищ организацией, осуществляющей обслуживание, должны быть установлены:</w:t>
      </w:r>
    </w:p>
    <w:p w14:paraId="9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тенд с планом кладбища. На плане обозначаются основные функциональные зоны кладбища, здания и сооружения, секторы захоронений с указанием их нумерации. Стенд с планом устанавлив</w:t>
      </w:r>
      <w:r>
        <w:rPr>
          <w:rFonts w:ascii="Times New Roman" w:hAnsi="Times New Roman"/>
          <w:sz w:val="28"/>
        </w:rPr>
        <w:t>ается у главного входа кладбища;</w:t>
      </w:r>
    </w:p>
    <w:p w14:paraId="9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казатели расположения зданий и со</w:t>
      </w:r>
      <w:r>
        <w:rPr>
          <w:rFonts w:ascii="Times New Roman" w:hAnsi="Times New Roman"/>
          <w:sz w:val="28"/>
        </w:rPr>
        <w:t>оружений, общественных туалетов;</w:t>
      </w:r>
    </w:p>
    <w:p w14:paraId="9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тенд с объявлениями, распоряжениями, реквизиты и режим работы организации, осуще</w:t>
      </w:r>
      <w:r>
        <w:rPr>
          <w:rFonts w:ascii="Times New Roman" w:hAnsi="Times New Roman"/>
          <w:sz w:val="28"/>
        </w:rPr>
        <w:t>ствляющей обслуживание кладбища;</w:t>
      </w:r>
    </w:p>
    <w:p w14:paraId="9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тенд с указанием правил посещения кладбища, прав и обязанностей </w:t>
      </w:r>
      <w:r>
        <w:rPr>
          <w:rFonts w:ascii="Times New Roman" w:hAnsi="Times New Roman"/>
          <w:sz w:val="28"/>
        </w:rPr>
        <w:t>граждан;</w:t>
      </w:r>
    </w:p>
    <w:p w14:paraId="9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тационарные скамьи, садовые диваны у основных зданий, на аллеях, в секторах захоронений</w:t>
      </w:r>
      <w:r>
        <w:rPr>
          <w:rFonts w:ascii="Times New Roman" w:hAnsi="Times New Roman"/>
          <w:sz w:val="28"/>
        </w:rPr>
        <w:t>;</w:t>
      </w:r>
    </w:p>
    <w:p w14:paraId="9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бщественные туалеты</w:t>
      </w:r>
      <w:r>
        <w:rPr>
          <w:rFonts w:ascii="Times New Roman" w:hAnsi="Times New Roman"/>
          <w:sz w:val="28"/>
        </w:rPr>
        <w:t>;</w:t>
      </w:r>
    </w:p>
    <w:p w14:paraId="9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онтейнерные площадки с мусоросборниками для мусора.</w:t>
      </w:r>
    </w:p>
    <w:p w14:paraId="9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3.5.2. Для обеспечения инсоляции и проветривания территории кладбища плотность посадок деревьев регулируется действующими СанПин.</w:t>
      </w:r>
    </w:p>
    <w:p w14:paraId="9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3.5.3. Площадь зеленых насаждений должна составлять не менее 20% общей площади кладбища.</w:t>
      </w:r>
    </w:p>
    <w:p w14:paraId="9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3.5.4. Территория кладбища должна быть ограждена по периметру. Допускается живая изгородь из кустарников.</w:t>
      </w:r>
    </w:p>
    <w:p w14:paraId="9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3.5.5. В зоне входа на кладбище размещается площадка для ожидания и сбора родственников, сопровождающих траурную процессию.</w:t>
      </w:r>
    </w:p>
    <w:p w14:paraId="9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3.5.6. Общая площадь мест захоронения должна составлять не менее 65 - 75% всей площади кладбища.</w:t>
      </w:r>
    </w:p>
    <w:p w14:paraId="9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3.5.7. По периметру кладбища устраивается дорога, имеющая хозяйственное значение. Вдоль нее размещаются мусоросборники.</w:t>
      </w:r>
    </w:p>
    <w:p w14:paraId="A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3.5.8. Захоронение некремированных останков осуществляется в землю в гробах.</w:t>
      </w:r>
    </w:p>
    <w:p w14:paraId="A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3.5.9. Места (участки) захоронений предусматриваются следующих видов:</w:t>
      </w:r>
    </w:p>
    <w:p w14:paraId="A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одну могилу - для одиноких;</w:t>
      </w:r>
    </w:p>
    <w:p w14:paraId="A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две и три могилы - для семейного захоронения;</w:t>
      </w:r>
    </w:p>
    <w:p w14:paraId="A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урновые захоронения в землю.</w:t>
      </w:r>
    </w:p>
    <w:p w14:paraId="A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3.5.10. Размеры одной могилы:</w:t>
      </w:r>
    </w:p>
    <w:p w14:paraId="A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ширина - 1,0 м;</w:t>
      </w:r>
    </w:p>
    <w:p w14:paraId="A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длина - 2,1 м;</w:t>
      </w:r>
    </w:p>
    <w:p w14:paraId="A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урновом захоронении - 0,8 x 0,8 м.</w:t>
      </w:r>
    </w:p>
    <w:p w14:paraId="A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3.5.11. При захоронении гроба с телом глубина могилы устанавливается в зависимости от характера грунта и уровня стояния грунтовых вод. При этом глубина должна составлять не менее 2 м от поверхности земли до крышки гроба.</w:t>
      </w:r>
      <w:r>
        <w:rPr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всех случаях отметка дна могилы должна быть на 0,5 м выше уровня стояния грунтовых вод. Надмогильную насыпь следует устраивать высотой 0,3 - 0,5 м от поверхности земли.</w:t>
      </w:r>
    </w:p>
    <w:p w14:paraId="A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3.5.12. Расстояния между могилами должны быть</w:t>
      </w:r>
      <w:r>
        <w:rPr>
          <w:rFonts w:ascii="Times New Roman" w:hAnsi="Times New Roman"/>
          <w:sz w:val="28"/>
        </w:rPr>
        <w:t xml:space="preserve"> не менее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м.</w:t>
      </w:r>
    </w:p>
    <w:p w14:paraId="A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Размещение надмогильных сооружений</w:t>
      </w:r>
      <w:r>
        <w:rPr>
          <w:rFonts w:ascii="Times New Roman" w:hAnsi="Times New Roman"/>
          <w:sz w:val="28"/>
        </w:rPr>
        <w:t>:</w:t>
      </w:r>
    </w:p>
    <w:p w14:paraId="A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3.6.1. После осадки земли на могиле может быть установлен памятник или сформирован холм. </w:t>
      </w:r>
    </w:p>
    <w:p w14:paraId="A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3.6.2. Обращаться за согласованием имеет право только лицо, на которое зарегистрировано место захоронения, либо по его доверенности иное лицо.</w:t>
      </w:r>
    </w:p>
    <w:p w14:paraId="A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3.6.3. Надмогильные сооружения устанавливаются с регистрационными знаками, в пределах отведенного земельного участка для погребения. Сооружения, установленные за пределами отведенного земельного участка, подлежат сносу.</w:t>
      </w:r>
    </w:p>
    <w:p w14:paraId="A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3.6.4. Установленные гражданами (организациями) надмогильные сооружения являются их собственностью.</w:t>
      </w:r>
    </w:p>
    <w:p w14:paraId="B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3.6.5. Надписи на надмогильных сооружениях должны соответствовать сведениям о действительно захороненных в данном месте умерших.</w:t>
      </w:r>
    </w:p>
    <w:p w14:paraId="B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3.6.6. Все работы на кладбище, связанные с установкой надмогильных сооружений, могут производиться только с разрешения уполномоченного органа по вопросам организации похоронного дела, в ведении которой находится кладбище, при предъявлении документа на их изготовление (приобретение). В согласовании может быть отказано при нарушении требований настоящей статьи.</w:t>
      </w:r>
    </w:p>
    <w:p w14:paraId="B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3.6.7. Надмогильные сооружения устанавливаются в пределах отведенного земельного участка. Сооружения, установленные за пределами отведенного земельного участка, подлежат сносу.</w:t>
      </w:r>
    </w:p>
    <w:p w14:paraId="B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Высота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надмогильных сооружений не должна превышать 1,5 м.</w:t>
      </w:r>
    </w:p>
    <w:p w14:paraId="B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Содержание (обслуживание) мест погребения</w:t>
      </w:r>
      <w:r>
        <w:rPr>
          <w:rFonts w:ascii="Times New Roman" w:hAnsi="Times New Roman"/>
          <w:sz w:val="28"/>
        </w:rPr>
        <w:t>:</w:t>
      </w:r>
    </w:p>
    <w:p w14:paraId="B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3.7.1. Организация, обслуживающая кладбище, обеспечивает:</w:t>
      </w:r>
    </w:p>
    <w:p w14:paraId="B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уход за бесхозными могилами;</w:t>
      </w:r>
    </w:p>
    <w:p w14:paraId="B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 в исправном состоянии общего ограждения, площадок кладбища и их ремонт;</w:t>
      </w:r>
    </w:p>
    <w:p w14:paraId="B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озеленение, уход за зелеными насаждениями на кладбище и санитарной зоны и их обновление;</w:t>
      </w:r>
    </w:p>
    <w:p w14:paraId="B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уборку территории кладбища и вывоз мусора;</w:t>
      </w:r>
    </w:p>
    <w:p w14:paraId="B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соблюдение правил пожарной безопасности;</w:t>
      </w:r>
    </w:p>
    <w:p w14:paraId="B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соблюдение санитарных норм и правил;</w:t>
      </w:r>
    </w:p>
    <w:p w14:paraId="B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обустройство контейнерных площадок для сбора мусора;</w:t>
      </w:r>
    </w:p>
    <w:p w14:paraId="B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 проездов на территории кладбища;</w:t>
      </w:r>
    </w:p>
    <w:p w14:paraId="B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иных мероприятий на территории кладбища, по мере их необходимости.</w:t>
      </w:r>
    </w:p>
    <w:p w14:paraId="B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3.7.2. Лица, ответственные за место захоронения, обязаны:</w:t>
      </w:r>
    </w:p>
    <w:p w14:paraId="C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содержать надмогильные сооружения и зеленые насаждения (оформленный могильный холм, памятник, цоколь, цветник) на участках захоронения в надлежащем состоянии;</w:t>
      </w:r>
    </w:p>
    <w:p w14:paraId="C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своевременно производить оправку могильных холмов;</w:t>
      </w:r>
    </w:p>
    <w:p w14:paraId="C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наличие соответствующих документов о захоронении.</w:t>
      </w:r>
    </w:p>
    <w:p w14:paraId="C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ответственное за место захоронения, вправе заключать договоры с организациями по оказанию ритуальных услуг по уходу за могилой.</w:t>
      </w:r>
    </w:p>
    <w:p w14:paraId="C4000000">
      <w:pPr>
        <w:widowControl w:val="1"/>
        <w:spacing w:after="120" w:before="1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ПРЕДОСТАВЛЕНИЕ ЗЕМЕЛЬНЫХ УЧАСТКОВ ДЛЯ ПОГРЕБЕНИЯ</w:t>
      </w:r>
    </w:p>
    <w:p w14:paraId="C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Порядок предоставления земельных участков для погребения</w:t>
      </w:r>
      <w:r>
        <w:rPr>
          <w:rFonts w:ascii="Times New Roman" w:hAnsi="Times New Roman"/>
          <w:sz w:val="28"/>
        </w:rPr>
        <w:t>:</w:t>
      </w:r>
    </w:p>
    <w:p w14:paraId="C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4.1.1. Приступать к работам по захоронению на кладбище можно только после оформления разрешающей документации на отвод земельного участка.</w:t>
      </w:r>
    </w:p>
    <w:p w14:paraId="C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 Отвод земельных участков для захоронения на муниципальных кладбищах производится уполномоченным органом по вопросам организации похоронного дела с учетом особенностей вероисповедания и национальных традиций умершего.</w:t>
      </w:r>
    </w:p>
    <w:p w14:paraId="C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Лицо, взявшее на себя обязанность по захоронению умершего, для отвода земельного участка под захоронение должно обратиться в уполномоченный орган по вопросам организации похоронного дела и представить свидетельство о смерти или справку о смерти, выданные органом ЗАГС, или медицинское свидетельство о смерти.</w:t>
      </w:r>
    </w:p>
    <w:p w14:paraId="C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4.1.4. Уполномоченный орган по вопросам организации похоронного дела при выполнении работ по копке могилы оформляет талон на земельный участок для захоронения, который предъявляется для выделения мест для копки могилы.</w:t>
      </w:r>
    </w:p>
    <w:p w14:paraId="C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</w:rPr>
        <w:t>5. Расстояние между могилами должно быть по длинным сторонам не менее 1 м, по коротким - не менее 0,5 м.</w:t>
      </w:r>
    </w:p>
    <w:p w14:paraId="C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Семейные (родовые) захоронения</w:t>
      </w:r>
      <w:r>
        <w:rPr>
          <w:rFonts w:ascii="Times New Roman" w:hAnsi="Times New Roman"/>
          <w:sz w:val="28"/>
        </w:rPr>
        <w:t>:</w:t>
      </w:r>
    </w:p>
    <w:p w14:paraId="C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Места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семейных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(родовых)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захоронений предоставляются как непосредственно при осуществлении погребения умершего, так и под будущие захоронения.</w:t>
      </w:r>
    </w:p>
    <w:p w14:paraId="C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4.2.2. Правовым актом администрации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определяются порядок предоставления земельных участков на территории муниципальных кладбищ для создания семейных (родовых) захоронений; порядок формирования и ведение реестра семейных (родовых) захоронений.</w:t>
      </w:r>
    </w:p>
    <w:p w14:paraId="C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4.2.3. Порядок взимания платы за резервирование места семейного (родового) захоронения, размер платы за резервирование места для создания семейных (родовых) захоронений утверждается Советом народных депутатов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C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4.2.4. Площадь зоны семейных (родовых) захоронений на территории каждого из кладбищ, на которых возможно резервирование мест для создания семейных (родовых) захоронений, не должна превышать 1/4 общей площади зоны захоронений кладбища.</w:t>
      </w:r>
    </w:p>
    <w:p w14:paraId="D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Размеры земельных участков, предоставляемых для погребения</w:t>
      </w:r>
      <w:r>
        <w:rPr>
          <w:rFonts w:ascii="Times New Roman" w:hAnsi="Times New Roman"/>
          <w:sz w:val="28"/>
        </w:rPr>
        <w:t>:</w:t>
      </w:r>
    </w:p>
    <w:p w14:paraId="D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4.3.1. Стандартный размер бесплатно предоставляемого участка земли на территории кладбища для захоронения умершего составляет 5 кв. м. (2,5 х 2)</w:t>
      </w:r>
      <w:r>
        <w:rPr>
          <w:rFonts w:ascii="Times New Roman" w:hAnsi="Times New Roman"/>
          <w:sz w:val="28"/>
        </w:rPr>
        <w:t>.</w:t>
      </w:r>
    </w:p>
    <w:p w14:paraId="D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Максимальный размер участка земли для семейного (родового) захоронения устанавливается в размере до 25 кв. м.</w:t>
      </w:r>
    </w:p>
    <w:p w14:paraId="D3000000">
      <w:pPr>
        <w:widowControl w:val="1"/>
        <w:spacing w:after="120" w:before="1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ПРАВИЛА ПОСЕЩЕНИЯ И ПОВЕДЕНИЯ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 МЕСТ ПОГРЕБЕНИЯ</w:t>
      </w:r>
    </w:p>
    <w:p w14:paraId="D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Правила посещения и поведения на муниципальных кладбищах</w:t>
      </w:r>
      <w:r>
        <w:rPr>
          <w:rFonts w:ascii="Times New Roman" w:hAnsi="Times New Roman"/>
          <w:sz w:val="28"/>
        </w:rPr>
        <w:t>:</w:t>
      </w:r>
    </w:p>
    <w:p w14:paraId="D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5.1.1.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кладбища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посетители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соблюдать общественный порядок и тишину.</w:t>
      </w:r>
    </w:p>
    <w:p w14:paraId="D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5.1.2. Посетители кладбища имеют право:</w:t>
      </w:r>
    </w:p>
    <w:p w14:paraId="D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устанавливать памятники и другие надмогильные сооружения в соответствии с требованиями настоящего положения;</w:t>
      </w:r>
    </w:p>
    <w:p w14:paraId="D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</w:t>
      </w:r>
      <w:r>
        <w:rPr>
          <w:rFonts w:ascii="Times New Roman" w:hAnsi="Times New Roman"/>
          <w:sz w:val="28"/>
        </w:rPr>
        <w:t>жать цветы на могильном участке.</w:t>
      </w:r>
    </w:p>
    <w:p w14:paraId="D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5.1.3. Граждане, ответственные за захоронение, обязаны строго соблюдать требования к размерам отведенного под захоронение участка.</w:t>
      </w:r>
    </w:p>
    <w:p w14:paraId="D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5.1.4. На территории кладбища посетителям запрещается:</w:t>
      </w:r>
    </w:p>
    <w:p w14:paraId="D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устраивать захоронения в разрывах между могилами, на обочинах дорог;</w:t>
      </w:r>
    </w:p>
    <w:p w14:paraId="D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нарушать общественный порядок и тишину;</w:t>
      </w:r>
    </w:p>
    <w:p w14:paraId="D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портить надмогильные сооружения, оборудование кладбища, засорять территорию;</w:t>
      </w:r>
    </w:p>
    <w:p w14:paraId="D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ломать зеленые насаждения и рвать цветы;</w:t>
      </w:r>
    </w:p>
    <w:p w14:paraId="D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разводить костры, добывать песок и глину;</w:t>
      </w:r>
    </w:p>
    <w:p w14:paraId="E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находиться на территории кладбища после его закрытия;</w:t>
      </w:r>
    </w:p>
    <w:p w14:paraId="E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выгуливать собак, пасти сельскохозяйственных животных;</w:t>
      </w:r>
    </w:p>
    <w:p w14:paraId="E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торговую деятельность;</w:t>
      </w:r>
    </w:p>
    <w:p w14:paraId="E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заниматься иной деятельностью, не связанной с реализацией настоящего положения.</w:t>
      </w:r>
    </w:p>
    <w:p w14:paraId="E4000000">
      <w:pPr>
        <w:widowControl w:val="1"/>
        <w:spacing w:after="120" w:before="1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ЗАКЛЮЧИТЕЛЬНЫЕ ПОЛОЖЕНИЯ</w:t>
      </w:r>
    </w:p>
    <w:p w14:paraId="E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Контроль за исполнением Положения осуществляют должностные лица органов местного самоуправления муниципального образования </w:t>
      </w:r>
      <w:r>
        <w:rPr>
          <w:rFonts w:ascii="Times New Roman" w:hAnsi="Times New Roman"/>
          <w:sz w:val="28"/>
        </w:rPr>
        <w:t>Крапивинс</w:t>
      </w:r>
      <w:r>
        <w:rPr>
          <w:rFonts w:ascii="Times New Roman" w:hAnsi="Times New Roman"/>
          <w:sz w:val="28"/>
        </w:rPr>
        <w:t xml:space="preserve">кий муниципальный округ, определенные главой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округа, уполномоченные составлять протоколы об административных правонарушениях, в пределах своих полномочий в рамках действующего законодательства Российской Федерации и </w:t>
      </w:r>
      <w:r>
        <w:rPr>
          <w:rFonts w:ascii="Times New Roman" w:hAnsi="Times New Roman"/>
          <w:sz w:val="28"/>
        </w:rPr>
        <w:t>Закона Кемеровской области «Об административных правонарушениях в Кемеровской области».</w:t>
      </w:r>
      <w:r>
        <w:rPr>
          <w:rFonts w:ascii="Times New Roman" w:hAnsi="Times New Roman"/>
          <w:sz w:val="28"/>
        </w:rPr>
        <w:t xml:space="preserve"> </w:t>
      </w:r>
    </w:p>
    <w:p w14:paraId="E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Ответственность за нарушение настоящего Положения</w:t>
      </w:r>
      <w:r>
        <w:rPr>
          <w:rFonts w:ascii="Times New Roman" w:hAnsi="Times New Roman"/>
          <w:sz w:val="28"/>
        </w:rPr>
        <w:t>:</w:t>
      </w:r>
    </w:p>
    <w:p w14:paraId="E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6.2.1.</w:t>
      </w:r>
      <w:r>
        <w:rPr>
          <w:rFonts w:ascii="Times New Roman" w:hAnsi="Times New Roman"/>
          <w:sz w:val="28"/>
        </w:rPr>
        <w:t xml:space="preserve">За нарушение настоящего Положения физические, должностные и юридические лица несут ответственность в соответствии с действующим законодательством Российской Федерации и </w:t>
      </w:r>
      <w:r>
        <w:rPr>
          <w:rFonts w:ascii="Times New Roman" w:hAnsi="Times New Roman"/>
          <w:sz w:val="28"/>
        </w:rPr>
        <w:t>Законом Кемеровской области «Об административных правонарушениях в Кемеровской области»</w:t>
      </w:r>
      <w:r>
        <w:rPr>
          <w:rFonts w:ascii="Times New Roman" w:hAnsi="Times New Roman"/>
          <w:sz w:val="28"/>
        </w:rPr>
        <w:t>.</w:t>
      </w:r>
    </w:p>
    <w:p w14:paraId="E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При нарушении санитарных и экологических требований к содержанию места погребения администрация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</w:t>
      </w:r>
    </w:p>
    <w:p w14:paraId="E9000000">
      <w:pPr>
        <w:rPr>
          <w:rFonts w:ascii="Times New Roman" w:hAnsi="Times New Roman"/>
          <w:sz w:val="28"/>
        </w:rPr>
      </w:pPr>
    </w:p>
    <w:p w14:paraId="EA000000">
      <w:pPr>
        <w:widowControl w:val="1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EB000000">
      <w:pPr>
        <w:rPr>
          <w:rFonts w:ascii="Times New Roman" w:hAnsi="Times New Roman"/>
          <w:sz w:val="28"/>
        </w:rPr>
      </w:pPr>
    </w:p>
    <w:p w14:paraId="EC000000">
      <w:pPr>
        <w:widowControl w:val="1"/>
        <w:ind w:firstLine="0"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</w:p>
    <w:p w14:paraId="ED000000">
      <w:pPr>
        <w:widowControl w:val="1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к </w:t>
      </w:r>
      <w:bookmarkStart w:id="2" w:name="P302"/>
      <w:bookmarkEnd w:id="2"/>
      <w:r>
        <w:rPr>
          <w:rFonts w:ascii="Times New Roman" w:hAnsi="Times New Roman"/>
        </w:rPr>
        <w:t>Положению о похоронном деле, об организации ритуальных услуг и мест захоронения на территории Крапивинского муниципального округа</w:t>
      </w:r>
    </w:p>
    <w:p w14:paraId="E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E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Книга регистрации захоронений</w:t>
      </w:r>
    </w:p>
    <w:p w14:paraId="F0000000">
      <w:pPr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4"/>
        <w:gridCol w:w="908"/>
        <w:gridCol w:w="728"/>
        <w:gridCol w:w="649"/>
        <w:gridCol w:w="806"/>
        <w:gridCol w:w="1135"/>
        <w:gridCol w:w="1228"/>
        <w:gridCol w:w="979"/>
        <w:gridCol w:w="918"/>
        <w:gridCol w:w="612"/>
      </w:tblGrid>
      <w:tr>
        <w:trPr>
          <w:trHeight w:hRule="atLeast" w:val="1904"/>
        </w:trPr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1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Порядковый номер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2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Ф.И.О. умершего</w:t>
            </w:r>
          </w:p>
        </w:tc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3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Дата рождения</w:t>
            </w:r>
          </w:p>
        </w:tc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4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Дата смерти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5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Дата захоронения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6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Название и адрес кладбища, номер квартала, ряда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7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Свидетельство о смерти (или медицинское св-во о смерти)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8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Ф.И.О., ответственного за захоронение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9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Организация проводившая захоронение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A000000">
            <w:pPr>
              <w:pStyle w:val="Style_4"/>
              <w:widowControl w:val="1"/>
              <w:ind w:left="113" w:right="1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Координаты захоронения</w:t>
            </w:r>
          </w:p>
        </w:tc>
      </w:tr>
      <w:tr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1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10000">
            <w:pPr>
              <w:pStyle w:val="Style_5"/>
              <w:rPr>
                <w:rFonts w:ascii="Times New Roman" w:hAnsi="Times New Roman"/>
              </w:rPr>
            </w:pPr>
          </w:p>
        </w:tc>
      </w:tr>
    </w:tbl>
    <w:p w14:paraId="0F010000">
      <w:pPr>
        <w:rPr>
          <w:rFonts w:ascii="Times New Roman" w:hAnsi="Times New Roman"/>
          <w:sz w:val="28"/>
        </w:rPr>
      </w:pPr>
    </w:p>
    <w:p w14:paraId="10010000">
      <w:pPr>
        <w:widowControl w:val="1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1010000">
      <w:pPr>
        <w:widowControl w:val="1"/>
        <w:ind w:firstLine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14:paraId="12010000">
      <w:pPr>
        <w:widowControl w:val="1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Положению о похоронном деле, об организации ритуальных услуг и мест захоронения на территории Крапивинского муниципального округа</w:t>
      </w:r>
    </w:p>
    <w:p w14:paraId="13010000">
      <w:pPr>
        <w:rPr>
          <w:rFonts w:ascii="Times New Roman" w:hAnsi="Times New Roman"/>
          <w:sz w:val="28"/>
        </w:rPr>
      </w:pPr>
    </w:p>
    <w:p w14:paraId="1401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Талон</w:t>
      </w:r>
    </w:p>
    <w:p w14:paraId="1501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земельный участок для захоронения</w:t>
      </w:r>
    </w:p>
    <w:p w14:paraId="16010000">
      <w:pPr>
        <w:widowControl w:val="1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6"/>
        <w:tblW w:type="auto" w:w="0"/>
        <w:tblLayout w:type="fixed"/>
      </w:tblPr>
      <w:tblGrid>
        <w:gridCol w:w="4388"/>
        <w:gridCol w:w="4389"/>
      </w:tblGrid>
      <w:tr>
        <w:tc>
          <w:tcPr>
            <w:tcW w:type="dxa" w:w="4388"/>
          </w:tcPr>
          <w:p w14:paraId="17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специализированной службы, ритуального агента</w:t>
            </w:r>
            <w:r>
              <w:rPr>
                <w:rFonts w:ascii="Times New Roman" w:hAnsi="Times New Roman"/>
              </w:rPr>
              <w:t xml:space="preserve"> юридический адрес, телефон</w:t>
            </w:r>
          </w:p>
          <w:p w14:paraId="1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19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ОТРЫВНОЙ ТАЛОН N ____ </w:t>
            </w:r>
          </w:p>
          <w:p w14:paraId="1A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земельный участок для захоронения</w:t>
            </w:r>
          </w:p>
          <w:p w14:paraId="1B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1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__________________________</w:t>
            </w:r>
          </w:p>
          <w:p w14:paraId="1D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(Ф.И.О. лица, ответственного за захоронение)</w:t>
            </w:r>
          </w:p>
          <w:p w14:paraId="1E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случае, если интересы лица, ответственного за захоронение, представляет уполномоченный представитель:</w:t>
            </w:r>
          </w:p>
          <w:p w14:paraId="1F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20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14:paraId="21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(Ф.И.О. уполномоченного представителя лица, ответственного за захоронение)</w:t>
            </w:r>
          </w:p>
          <w:p w14:paraId="22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23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погребения</w:t>
            </w:r>
          </w:p>
          <w:p w14:paraId="24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14:paraId="25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(Ф.И.О. умершего)</w:t>
            </w:r>
          </w:p>
          <w:p w14:paraId="2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"___"_____________ 20____</w:t>
            </w:r>
          </w:p>
          <w:p w14:paraId="27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(дата захоронения)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______________________ кладбище</w:t>
            </w:r>
          </w:p>
          <w:p w14:paraId="29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(наименование кладбища)</w:t>
            </w:r>
          </w:p>
          <w:p w14:paraId="2A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КВАРТАЛ N ___________</w:t>
            </w:r>
          </w:p>
          <w:p w14:paraId="2B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N ___________</w:t>
            </w:r>
          </w:p>
          <w:p w14:paraId="2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2D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</w:t>
            </w:r>
          </w:p>
          <w:p w14:paraId="2E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2F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14:paraId="30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31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"___" ___________ 20___</w:t>
            </w:r>
          </w:p>
          <w:p w14:paraId="32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33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Получил</w:t>
            </w:r>
          </w:p>
          <w:p w14:paraId="34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35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36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(Подпись лица, получившего талон)</w:t>
            </w:r>
          </w:p>
          <w:p w14:paraId="3701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i w:val="1"/>
                <w:vertAlign w:val="superscript"/>
              </w:rPr>
            </w:pPr>
          </w:p>
        </w:tc>
        <w:tc>
          <w:tcPr>
            <w:tcW w:type="dxa" w:w="4389"/>
          </w:tcPr>
          <w:p w14:paraId="3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специализированной службы</w:t>
            </w:r>
            <w:r>
              <w:rPr>
                <w:rFonts w:ascii="Times New Roman" w:hAnsi="Times New Roman"/>
              </w:rPr>
              <w:t xml:space="preserve"> ритуального агента юридический адрес, телефон </w:t>
            </w:r>
          </w:p>
          <w:p w14:paraId="39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3A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ТАЛОН N _____</w:t>
            </w:r>
          </w:p>
          <w:p w14:paraId="3B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земельный участок для захоронения</w:t>
            </w:r>
          </w:p>
          <w:p w14:paraId="3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3D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Выдан 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3E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(Ф.И.О. лица, ответственного за захоронение)</w:t>
            </w:r>
          </w:p>
          <w:p w14:paraId="3F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случае, если интересы лица, ответственного за захоронение, представляет уполномоченный представитель:</w:t>
            </w:r>
          </w:p>
          <w:p w14:paraId="40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41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14:paraId="42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(Ф.И.О. уполномоченного представителя лица, ответственного за захоронение) </w:t>
            </w:r>
          </w:p>
          <w:p w14:paraId="43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44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захоронения ______________________</w:t>
            </w:r>
          </w:p>
          <w:p w14:paraId="45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(Ф.И.О. умершего)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"___" _____________ 20____</w:t>
            </w:r>
          </w:p>
          <w:p w14:paraId="47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(дата захоронения)</w:t>
            </w:r>
          </w:p>
          <w:p w14:paraId="4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______________________ кладбище</w:t>
            </w:r>
          </w:p>
          <w:p w14:paraId="49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(наименование кладбища)</w:t>
            </w:r>
          </w:p>
          <w:p w14:paraId="4A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КВАРТАЛ N ___________</w:t>
            </w:r>
          </w:p>
          <w:p w14:paraId="4B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N ___________</w:t>
            </w:r>
          </w:p>
          <w:p w14:paraId="4C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4D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ответственное за захоронение, обязано перед подготовкой могилы предъявить талон в специализированную службу, либо ритуальному агенту.</w:t>
            </w:r>
          </w:p>
          <w:p w14:paraId="4E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 лица, ответственного за захоронение, мне разъяснены и понятны</w:t>
            </w:r>
          </w:p>
          <w:p w14:paraId="4F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  <w:p w14:paraId="50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(подпись лица, ответственного за захоронение)</w:t>
            </w:r>
          </w:p>
          <w:p w14:paraId="51010000">
            <w:pPr>
              <w:widowControl w:val="1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_________________________________________</w:t>
            </w:r>
          </w:p>
          <w:p w14:paraId="5201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i w:val="1"/>
                <w:vertAlign w:val="superscript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vertAlign w:val="superscript"/>
              </w:rPr>
              <w:t>подпись уполномоченного представителя лица, ответственного за захоронение)</w:t>
            </w:r>
          </w:p>
        </w:tc>
      </w:tr>
    </w:tbl>
    <w:p w14:paraId="53010000">
      <w:pPr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first"/>
      <w:pgSz w:h="16838" w:orient="portrait" w:w="11906"/>
      <w:pgMar w:bottom="1134" w:footer="414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4" w:type="paragraph">
    <w:name w:val="Table!"/>
    <w:next w:val="Style_5"/>
    <w:link w:val="Style_4_ch"/>
    <w:pPr>
      <w:widowControl w:val="1"/>
      <w:ind/>
      <w:jc w:val="center"/>
    </w:pPr>
    <w:rPr>
      <w:rFonts w:ascii="Arial" w:hAnsi="Arial"/>
      <w:b w:val="1"/>
      <w:sz w:val="24"/>
    </w:rPr>
  </w:style>
  <w:style w:styleId="Style_4_ch" w:type="character">
    <w:name w:val="Table!"/>
    <w:link w:val="Style_4"/>
    <w:rPr>
      <w:rFonts w:ascii="Arial" w:hAnsi="Arial"/>
      <w:b w:val="1"/>
      <w:sz w:val="24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PlusTitle"/>
    <w:link w:val="Style_12_ch"/>
    <w:pPr>
      <w:widowControl w:val="0"/>
      <w:ind/>
    </w:pPr>
    <w:rPr>
      <w:rFonts w:ascii="Arial" w:hAnsi="Arial"/>
      <w:b w:val="1"/>
    </w:rPr>
  </w:style>
  <w:style w:styleId="Style_12_ch" w:type="character">
    <w:name w:val="ConsPlusTitle"/>
    <w:link w:val="Style_12"/>
    <w:rPr>
      <w:rFonts w:ascii="Arial" w:hAnsi="Arial"/>
      <w:b w:val="1"/>
    </w:rPr>
  </w:style>
  <w:style w:styleId="Style_13" w:type="paragraph">
    <w:name w:val="Unresolved Mention"/>
    <w:basedOn w:val="Style_14"/>
    <w:link w:val="Style_13_ch"/>
    <w:rPr>
      <w:color w:val="605E5C"/>
      <w:shd w:fill="E1DFDD" w:val="clear"/>
    </w:rPr>
  </w:style>
  <w:style w:styleId="Style_13_ch" w:type="character">
    <w:name w:val="Unresolved Mention"/>
    <w:basedOn w:val="Style_14_ch"/>
    <w:link w:val="Style_13"/>
    <w:rPr>
      <w:color w:val="605E5C"/>
      <w:shd w:fill="E1DFDD" w:val="clear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7"/>
    <w:link w:val="Style_16_ch"/>
    <w:uiPriority w:val="9"/>
    <w:qFormat/>
    <w:pPr>
      <w:widowControl w:val="1"/>
      <w:ind/>
      <w:outlineLvl w:val="2"/>
    </w:pPr>
    <w:rPr>
      <w:b w:val="1"/>
      <w:sz w:val="28"/>
    </w:rPr>
  </w:style>
  <w:style w:styleId="Style_16_ch" w:type="character">
    <w:name w:val="heading 3"/>
    <w:basedOn w:val="Style_7_ch"/>
    <w:link w:val="Style_16"/>
    <w:rPr>
      <w:b w:val="1"/>
      <w:sz w:val="28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Application!Приложение"/>
    <w:link w:val="Style_18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18_ch" w:type="character">
    <w:name w:val="Application!Приложение"/>
    <w:link w:val="Style_18"/>
    <w:rPr>
      <w:rFonts w:ascii="Arial" w:hAnsi="Arial"/>
      <w:b w:val="1"/>
      <w:sz w:val="32"/>
    </w:rPr>
  </w:style>
  <w:style w:styleId="Style_19" w:type="paragraph">
    <w:name w:val="footer"/>
    <w:basedOn w:val="Style_7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7_ch"/>
    <w:link w:val="Style_19"/>
  </w:style>
  <w:style w:styleId="Style_20" w:type="paragraph">
    <w:name w:val="Institution!Орган принятия"/>
    <w:basedOn w:val="Style_21"/>
    <w:next w:val="Style_7"/>
    <w:link w:val="Style_20_ch"/>
    <w:rPr>
      <w:sz w:val="28"/>
    </w:rPr>
  </w:style>
  <w:style w:styleId="Style_20_ch" w:type="character">
    <w:name w:val="Institution!Орган принятия"/>
    <w:basedOn w:val="Style_21_ch"/>
    <w:link w:val="Style_20"/>
    <w:rPr>
      <w:sz w:val="28"/>
    </w:rPr>
  </w:style>
  <w:style w:styleId="Style_22" w:type="paragraph">
    <w:name w:val="toc 3"/>
    <w:next w:val="Style_7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alloon Text"/>
    <w:basedOn w:val="Style_7"/>
    <w:link w:val="Style_23_ch"/>
    <w:rPr>
      <w:rFonts w:ascii="Tahoma" w:hAnsi="Tahoma"/>
      <w:sz w:val="16"/>
    </w:rPr>
  </w:style>
  <w:style w:styleId="Style_23_ch" w:type="character">
    <w:name w:val="Balloon Text"/>
    <w:basedOn w:val="Style_7_ch"/>
    <w:link w:val="Style_23"/>
    <w:rPr>
      <w:rFonts w:ascii="Tahoma" w:hAnsi="Tahoma"/>
      <w:sz w:val="16"/>
    </w:rPr>
  </w:style>
  <w:style w:styleId="Style_24" w:type="paragraph">
    <w:name w:val="ConsPlusNormal"/>
    <w:link w:val="Style_24_ch"/>
    <w:pPr>
      <w:widowControl w:val="0"/>
      <w:ind/>
    </w:pPr>
    <w:rPr>
      <w:sz w:val="22"/>
    </w:rPr>
  </w:style>
  <w:style w:styleId="Style_24_ch" w:type="character">
    <w:name w:val="ConsPlusNormal"/>
    <w:link w:val="Style_24"/>
    <w:rPr>
      <w:sz w:val="22"/>
    </w:rPr>
  </w:style>
  <w:style w:styleId="Style_25" w:type="paragraph">
    <w:name w:val="Title!Название НПА"/>
    <w:basedOn w:val="Style_7"/>
    <w:link w:val="Style_25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25_ch" w:type="character">
    <w:name w:val="Title!Название НПА"/>
    <w:basedOn w:val="Style_7_ch"/>
    <w:link w:val="Style_25"/>
    <w:rPr>
      <w:b w:val="1"/>
      <w:sz w:val="32"/>
    </w:rPr>
  </w:style>
  <w:style w:styleId="Style_26" w:type="paragraph">
    <w:name w:val="ConsNonformat"/>
    <w:link w:val="Style_26_ch"/>
    <w:pPr>
      <w:widowControl w:val="0"/>
      <w:ind/>
    </w:pPr>
    <w:rPr>
      <w:rFonts w:ascii="Courier New" w:hAnsi="Courier New"/>
    </w:rPr>
  </w:style>
  <w:style w:styleId="Style_26_ch" w:type="character">
    <w:name w:val="ConsNonformat"/>
    <w:link w:val="Style_26"/>
    <w:rPr>
      <w:rFonts w:ascii="Courier New" w:hAnsi="Courier New"/>
    </w:rPr>
  </w:style>
  <w:style w:styleId="Style_27" w:type="paragraph">
    <w:name w:val="heading 5"/>
    <w:next w:val="Style_7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ConsNormal"/>
    <w:link w:val="Style_28_ch"/>
    <w:pPr>
      <w:widowControl w:val="0"/>
      <w:ind w:firstLine="720"/>
    </w:pPr>
    <w:rPr>
      <w:rFonts w:ascii="Arial" w:hAnsi="Arial"/>
    </w:rPr>
  </w:style>
  <w:style w:styleId="Style_28_ch" w:type="character">
    <w:name w:val="ConsNormal"/>
    <w:link w:val="Style_28"/>
    <w:rPr>
      <w:rFonts w:ascii="Arial" w:hAnsi="Arial"/>
    </w:rPr>
  </w:style>
  <w:style w:styleId="Style_29" w:type="paragraph">
    <w:name w:val="heading 1"/>
    <w:basedOn w:val="Style_7"/>
    <w:next w:val="Style_7"/>
    <w:link w:val="Style_29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9_ch" w:type="character">
    <w:name w:val="heading 1"/>
    <w:basedOn w:val="Style_7_ch"/>
    <w:link w:val="Style_29"/>
    <w:rPr>
      <w:b w:val="1"/>
      <w:sz w:val="32"/>
    </w:rPr>
  </w:style>
  <w:style w:styleId="Style_30" w:type="paragraph">
    <w:name w:val="No Spacing"/>
    <w:link w:val="Style_30_ch"/>
    <w:rPr>
      <w:rFonts w:ascii="Times New Roman" w:hAnsi="Times New Roman"/>
      <w:sz w:val="24"/>
    </w:rPr>
  </w:style>
  <w:style w:styleId="Style_30_ch" w:type="character">
    <w:name w:val="No Spacing"/>
    <w:link w:val="Style_30"/>
    <w:rPr>
      <w:rFonts w:ascii="Times New Roman" w:hAnsi="Times New Roman"/>
      <w:sz w:val="24"/>
    </w:rPr>
  </w:style>
  <w:style w:styleId="Style_2" w:type="paragraph">
    <w:name w:val="Hyperlink"/>
    <w:basedOn w:val="Style_14"/>
    <w:link w:val="Style_2_ch"/>
    <w:rPr>
      <w:color w:val="0000FF"/>
      <w:u w:val="none"/>
    </w:rPr>
  </w:style>
  <w:style w:styleId="Style_2_ch" w:type="character">
    <w:name w:val="Hyperlink"/>
    <w:basedOn w:val="Style_14_ch"/>
    <w:link w:val="Style_2"/>
    <w:rPr>
      <w:color w:val="0000FF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7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ConsTitle"/>
    <w:link w:val="Style_34_ch"/>
    <w:pPr>
      <w:widowControl w:val="0"/>
      <w:ind/>
    </w:pPr>
    <w:rPr>
      <w:rFonts w:ascii="Arial" w:hAnsi="Arial"/>
      <w:b w:val="1"/>
      <w:sz w:val="16"/>
    </w:rPr>
  </w:style>
  <w:style w:styleId="Style_34_ch" w:type="character">
    <w:name w:val="ConsTitle"/>
    <w:link w:val="Style_34"/>
    <w:rPr>
      <w:rFonts w:ascii="Arial" w:hAnsi="Arial"/>
      <w:b w:val="1"/>
      <w:sz w:val="16"/>
    </w:rPr>
  </w:style>
  <w:style w:styleId="Style_35" w:type="paragraph">
    <w:name w:val="Body Text Indent"/>
    <w:basedOn w:val="Style_7"/>
    <w:link w:val="Style_35_ch"/>
    <w:pPr>
      <w:widowControl w:val="1"/>
      <w:spacing w:after="120" w:line="276" w:lineRule="auto"/>
      <w:ind w:left="283"/>
    </w:pPr>
    <w:rPr>
      <w:rFonts w:ascii="Calibri" w:hAnsi="Calibri"/>
      <w:sz w:val="22"/>
    </w:rPr>
  </w:style>
  <w:style w:styleId="Style_35_ch" w:type="character">
    <w:name w:val="Body Text Indent"/>
    <w:basedOn w:val="Style_7_ch"/>
    <w:link w:val="Style_35"/>
    <w:rPr>
      <w:rFonts w:ascii="Calibri" w:hAnsi="Calibri"/>
      <w:sz w:val="22"/>
    </w:rPr>
  </w:style>
  <w:style w:styleId="Style_36" w:type="paragraph">
    <w:name w:val="HTML Variable"/>
    <w:basedOn w:val="Style_14"/>
    <w:link w:val="Style_36_ch"/>
    <w:rPr>
      <w:rFonts w:ascii="Arial" w:hAnsi="Arial"/>
      <w:b w:val="0"/>
      <w:i w:val="0"/>
      <w:color w:val="0000FF"/>
      <w:sz w:val="24"/>
      <w:u w:val="none"/>
    </w:rPr>
  </w:style>
  <w:style w:styleId="Style_36_ch" w:type="character">
    <w:name w:val="HTML Variable"/>
    <w:basedOn w:val="Style_14_ch"/>
    <w:link w:val="Style_36"/>
    <w:rPr>
      <w:rFonts w:ascii="Arial" w:hAnsi="Arial"/>
      <w:b w:val="0"/>
      <w:i w:val="0"/>
      <w:color w:val="0000FF"/>
      <w:sz w:val="24"/>
      <w:u w:val="none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7" w:type="paragraph">
    <w:name w:val="toc 9"/>
    <w:next w:val="Style_7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7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7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5" w:type="paragraph">
    <w:name w:val="Table!Таблица"/>
    <w:link w:val="Style_5_ch"/>
    <w:rPr>
      <w:rFonts w:ascii="Arial" w:hAnsi="Arial"/>
      <w:sz w:val="24"/>
    </w:rPr>
  </w:style>
  <w:style w:styleId="Style_5_ch" w:type="character">
    <w:name w:val="Table!Таблица"/>
    <w:link w:val="Style_5"/>
    <w:rPr>
      <w:rFonts w:ascii="Arial" w:hAnsi="Arial"/>
      <w:sz w:val="24"/>
    </w:rPr>
  </w:style>
  <w:style w:styleId="Style_40" w:type="paragraph">
    <w:name w:val="List Paragraph"/>
    <w:basedOn w:val="Style_7"/>
    <w:link w:val="Style_40_ch"/>
    <w:pPr>
      <w:widowControl w:val="1"/>
      <w:ind w:left="720"/>
      <w:contextualSpacing w:val="1"/>
    </w:pPr>
  </w:style>
  <w:style w:styleId="Style_40_ch" w:type="character">
    <w:name w:val="List Paragraph"/>
    <w:basedOn w:val="Style_7_ch"/>
    <w:link w:val="Style_40"/>
  </w:style>
  <w:style w:styleId="Style_21" w:type="paragraph">
    <w:name w:val="NumberAndDate"/>
    <w:link w:val="Style_21_ch"/>
    <w:pPr>
      <w:widowControl w:val="1"/>
      <w:ind/>
      <w:jc w:val="center"/>
    </w:pPr>
    <w:rPr>
      <w:rFonts w:ascii="Arial" w:hAnsi="Arial"/>
      <w:sz w:val="24"/>
    </w:rPr>
  </w:style>
  <w:style w:styleId="Style_21_ch" w:type="character">
    <w:name w:val="NumberAndDate"/>
    <w:link w:val="Style_21"/>
    <w:rPr>
      <w:rFonts w:ascii="Arial" w:hAnsi="Arial"/>
      <w:sz w:val="24"/>
    </w:rPr>
  </w:style>
  <w:style w:styleId="Style_41" w:type="paragraph">
    <w:name w:val="annotation text"/>
    <w:basedOn w:val="Style_7"/>
    <w:link w:val="Style_41_ch"/>
    <w:rPr>
      <w:rFonts w:ascii="Courier" w:hAnsi="Courier"/>
      <w:sz w:val="22"/>
    </w:rPr>
  </w:style>
  <w:style w:styleId="Style_41_ch" w:type="character">
    <w:name w:val="annotation text"/>
    <w:basedOn w:val="Style_7_ch"/>
    <w:link w:val="Style_41"/>
    <w:rPr>
      <w:rFonts w:ascii="Courier" w:hAnsi="Courier"/>
      <w:sz w:val="22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42" w:type="paragraph">
    <w:name w:val="Subtitle"/>
    <w:next w:val="Style_7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7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basedOn w:val="Style_7"/>
    <w:link w:val="Style_44_ch"/>
    <w:uiPriority w:val="9"/>
    <w:qFormat/>
    <w:pPr>
      <w:widowControl w:val="1"/>
      <w:ind/>
      <w:outlineLvl w:val="3"/>
    </w:pPr>
    <w:rPr>
      <w:b w:val="1"/>
      <w:sz w:val="26"/>
    </w:rPr>
  </w:style>
  <w:style w:styleId="Style_44_ch" w:type="character">
    <w:name w:val="heading 4"/>
    <w:basedOn w:val="Style_7_ch"/>
    <w:link w:val="Style_44"/>
    <w:rPr>
      <w:b w:val="1"/>
      <w:sz w:val="26"/>
    </w:rPr>
  </w:style>
  <w:style w:styleId="Style_45" w:type="paragraph">
    <w:name w:val="heading 2"/>
    <w:basedOn w:val="Style_7"/>
    <w:link w:val="Style_45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5_ch" w:type="character">
    <w:name w:val="heading 2"/>
    <w:basedOn w:val="Style_7_ch"/>
    <w:link w:val="Style_45"/>
    <w:rPr>
      <w:b w:val="1"/>
      <w:sz w:val="3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2026-03-30T03:02:00Z</dcterms:created>
  <dcterms:modified xsi:type="dcterms:W3CDTF">2026-04-01T03:18:23Z</dcterms:modified>
</cp:coreProperties>
</file>