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FF" w:rsidRPr="00274FB2" w:rsidRDefault="00B318FF" w:rsidP="00274FB2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 w:rsidRPr="00274FB2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EF0750" w:rsidRPr="00274FB2" w:rsidRDefault="00EF0750" w:rsidP="00274FB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B318FF" w:rsidRPr="00274FB2" w:rsidRDefault="00B318FF" w:rsidP="00274FB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74FB2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</w:t>
      </w:r>
      <w:r w:rsidR="00274FB2" w:rsidRPr="00274FB2">
        <w:rPr>
          <w:rFonts w:cs="Arial"/>
          <w:b/>
          <w:bCs/>
          <w:kern w:val="28"/>
          <w:sz w:val="32"/>
          <w:szCs w:val="32"/>
        </w:rPr>
        <w:t xml:space="preserve"> </w:t>
      </w:r>
      <w:r w:rsidRPr="00274FB2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B318FF" w:rsidRPr="00274FB2" w:rsidRDefault="00B318FF" w:rsidP="00274FB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B318FF" w:rsidRPr="00274FB2" w:rsidRDefault="00B318FF" w:rsidP="00274FB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74FB2">
        <w:rPr>
          <w:rFonts w:cs="Arial"/>
          <w:b/>
          <w:bCs/>
          <w:kern w:val="28"/>
          <w:sz w:val="32"/>
          <w:szCs w:val="32"/>
        </w:rPr>
        <w:t>РАСПОРЯЖЕНИЕ</w:t>
      </w:r>
      <w:r w:rsidR="00274FB2" w:rsidRPr="00274FB2">
        <w:rPr>
          <w:rFonts w:cs="Arial"/>
          <w:b/>
          <w:bCs/>
          <w:kern w:val="28"/>
          <w:sz w:val="32"/>
          <w:szCs w:val="32"/>
        </w:rPr>
        <w:t xml:space="preserve"> </w:t>
      </w:r>
      <w:r w:rsidR="008D13EF" w:rsidRPr="00274FB2">
        <w:rPr>
          <w:rFonts w:cs="Arial"/>
          <w:b/>
          <w:bCs/>
          <w:kern w:val="28"/>
          <w:sz w:val="32"/>
          <w:szCs w:val="32"/>
        </w:rPr>
        <w:t>от 13.11.</w:t>
      </w:r>
      <w:r w:rsidR="00A1407B" w:rsidRPr="00274FB2">
        <w:rPr>
          <w:rFonts w:cs="Arial"/>
          <w:b/>
          <w:bCs/>
          <w:kern w:val="28"/>
          <w:sz w:val="32"/>
          <w:szCs w:val="32"/>
        </w:rPr>
        <w:t>2</w:t>
      </w:r>
      <w:r w:rsidR="00BE3E8A" w:rsidRPr="00274FB2">
        <w:rPr>
          <w:rFonts w:cs="Arial"/>
          <w:b/>
          <w:bCs/>
          <w:kern w:val="28"/>
          <w:sz w:val="32"/>
          <w:szCs w:val="32"/>
        </w:rPr>
        <w:t>00</w:t>
      </w:r>
      <w:r w:rsidR="00A1407B" w:rsidRPr="00274FB2">
        <w:rPr>
          <w:rFonts w:cs="Arial"/>
          <w:b/>
          <w:bCs/>
          <w:kern w:val="28"/>
          <w:sz w:val="32"/>
          <w:szCs w:val="32"/>
        </w:rPr>
        <w:t>7</w:t>
      </w:r>
      <w:r w:rsidR="00BE3E8A" w:rsidRPr="00274FB2">
        <w:rPr>
          <w:rFonts w:cs="Arial"/>
          <w:b/>
          <w:bCs/>
          <w:kern w:val="28"/>
          <w:sz w:val="32"/>
          <w:szCs w:val="32"/>
        </w:rPr>
        <w:t>г</w:t>
      </w:r>
      <w:r w:rsidR="00BE71A6" w:rsidRPr="00274FB2">
        <w:rPr>
          <w:rFonts w:cs="Arial"/>
          <w:b/>
          <w:bCs/>
          <w:kern w:val="28"/>
          <w:sz w:val="32"/>
          <w:szCs w:val="32"/>
        </w:rPr>
        <w:t xml:space="preserve"> </w:t>
      </w:r>
      <w:r w:rsidR="008D13EF" w:rsidRPr="00274FB2">
        <w:rPr>
          <w:rFonts w:cs="Arial"/>
          <w:b/>
          <w:bCs/>
          <w:kern w:val="28"/>
          <w:sz w:val="32"/>
          <w:szCs w:val="32"/>
        </w:rPr>
        <w:t>№ 1555-р</w:t>
      </w:r>
      <w:r w:rsidR="00274FB2" w:rsidRPr="00274FB2">
        <w:rPr>
          <w:rFonts w:cs="Arial"/>
          <w:b/>
          <w:bCs/>
          <w:kern w:val="28"/>
          <w:sz w:val="32"/>
          <w:szCs w:val="32"/>
        </w:rPr>
        <w:t xml:space="preserve"> </w:t>
      </w:r>
      <w:r w:rsidR="0066653C" w:rsidRPr="00274FB2">
        <w:rPr>
          <w:rFonts w:cs="Arial"/>
          <w:b/>
          <w:bCs/>
          <w:kern w:val="28"/>
          <w:sz w:val="32"/>
          <w:szCs w:val="32"/>
        </w:rPr>
        <w:t>р.п.Крапивински</w:t>
      </w:r>
      <w:r w:rsidR="00153CCA" w:rsidRPr="00274FB2">
        <w:rPr>
          <w:rFonts w:cs="Arial"/>
          <w:b/>
          <w:bCs/>
          <w:kern w:val="28"/>
          <w:sz w:val="32"/>
          <w:szCs w:val="32"/>
        </w:rPr>
        <w:t>й</w:t>
      </w:r>
    </w:p>
    <w:p w:rsidR="00B318FF" w:rsidRPr="00274FB2" w:rsidRDefault="00B318FF" w:rsidP="00274FB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BE71A6" w:rsidRPr="00274FB2" w:rsidRDefault="00BE71A6" w:rsidP="00274FB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74FB2">
        <w:rPr>
          <w:rFonts w:cs="Arial"/>
          <w:b/>
          <w:bCs/>
          <w:kern w:val="28"/>
          <w:sz w:val="32"/>
          <w:szCs w:val="32"/>
        </w:rPr>
        <w:t xml:space="preserve">О внесении изменений в распоряжение №1213-р от 12.09.2007г «Об оценке эффективности социально-экономического развития муниципального образования «Крапивинский район» </w:t>
      </w:r>
    </w:p>
    <w:p w:rsidR="000E41E8" w:rsidRPr="00274FB2" w:rsidRDefault="000E41E8" w:rsidP="00274FB2"/>
    <w:p w:rsidR="00F04B35" w:rsidRPr="00274FB2" w:rsidRDefault="00CB724A" w:rsidP="00274FB2">
      <w:r w:rsidRPr="00274FB2">
        <w:t>В соответствии с</w:t>
      </w:r>
      <w:r w:rsidR="00BE71A6" w:rsidRPr="00274FB2">
        <w:t xml:space="preserve"> </w:t>
      </w:r>
      <w:r w:rsidR="00423F0E" w:rsidRPr="00274FB2">
        <w:t>распоряжени</w:t>
      </w:r>
      <w:r w:rsidRPr="00274FB2">
        <w:t>ем</w:t>
      </w:r>
      <w:r w:rsidR="00423F0E" w:rsidRPr="00274FB2">
        <w:t xml:space="preserve"> коллегии Администрации Кемеровской области </w:t>
      </w:r>
      <w:hyperlink r:id="rId8" w:history="1">
        <w:r w:rsidR="00423F0E" w:rsidRPr="0023693E">
          <w:rPr>
            <w:rStyle w:val="ab"/>
          </w:rPr>
          <w:t xml:space="preserve">от </w:t>
        </w:r>
        <w:r w:rsidRPr="0023693E">
          <w:rPr>
            <w:rStyle w:val="ab"/>
          </w:rPr>
          <w:t>3.10.2007</w:t>
        </w:r>
        <w:r w:rsidR="00423F0E" w:rsidRPr="0023693E">
          <w:rPr>
            <w:rStyle w:val="ab"/>
          </w:rPr>
          <w:t xml:space="preserve">г. № </w:t>
        </w:r>
        <w:r w:rsidRPr="0023693E">
          <w:rPr>
            <w:rStyle w:val="ab"/>
          </w:rPr>
          <w:t>1138</w:t>
        </w:r>
        <w:r w:rsidR="00423F0E" w:rsidRPr="0023693E">
          <w:rPr>
            <w:rStyle w:val="ab"/>
          </w:rPr>
          <w:t>-р</w:t>
        </w:r>
      </w:hyperlink>
      <w:r w:rsidR="00423F0E" w:rsidRPr="00274FB2">
        <w:t xml:space="preserve"> </w:t>
      </w:r>
      <w:r w:rsidRPr="00274FB2">
        <w:t xml:space="preserve">«О внесении изменений в распоряжение Коллегии Администрации Кемеровской области </w:t>
      </w:r>
      <w:hyperlink r:id="rId9" w:history="1">
        <w:r w:rsidRPr="0023693E">
          <w:rPr>
            <w:rStyle w:val="ab"/>
          </w:rPr>
          <w:t>от 26.07.2007 № 864-р</w:t>
        </w:r>
      </w:hyperlink>
      <w:r w:rsidRPr="00274FB2">
        <w:t xml:space="preserve"> «Об оценке эффективности деятельности органов исполнительной власти Кемеровской области и эффективности социально-экономического развития муниципальных образований Кемеровской области»</w:t>
      </w:r>
      <w:r w:rsidR="000674F8" w:rsidRPr="00274FB2">
        <w:t>:</w:t>
      </w:r>
    </w:p>
    <w:p w:rsidR="003E2606" w:rsidRPr="00274FB2" w:rsidRDefault="00CB724A" w:rsidP="00274FB2">
      <w:r w:rsidRPr="00274FB2">
        <w:t>П</w:t>
      </w:r>
      <w:r w:rsidR="000674F8" w:rsidRPr="00274FB2">
        <w:t>еречень</w:t>
      </w:r>
      <w:r w:rsidR="0071149B" w:rsidRPr="00274FB2">
        <w:t xml:space="preserve"> показателей для оценки эффективности </w:t>
      </w:r>
      <w:r w:rsidR="000674F8" w:rsidRPr="00274FB2">
        <w:t>социально-экономического развития муниципального образования «Крапивинский район</w:t>
      </w:r>
      <w:r w:rsidR="008672CD" w:rsidRPr="00274FB2">
        <w:t xml:space="preserve">, утвержденный распоряжением </w:t>
      </w:r>
      <w:hyperlink r:id="rId10" w:tgtFrame="Logical" w:history="1">
        <w:r w:rsidR="008672CD" w:rsidRPr="0023693E">
          <w:rPr>
            <w:rStyle w:val="ab"/>
          </w:rPr>
          <w:t>№</w:t>
        </w:r>
        <w:r w:rsidR="00BF7B83" w:rsidRPr="0023693E">
          <w:rPr>
            <w:rStyle w:val="ab"/>
          </w:rPr>
          <w:t xml:space="preserve"> </w:t>
        </w:r>
        <w:r w:rsidR="008672CD" w:rsidRPr="0023693E">
          <w:rPr>
            <w:rStyle w:val="ab"/>
          </w:rPr>
          <w:t>1213-р от 12.09.2007г</w:t>
        </w:r>
      </w:hyperlink>
      <w:r w:rsidR="008672CD" w:rsidRPr="00274FB2">
        <w:t xml:space="preserve"> «Об оценке эффективности социально-экономического развития муниципального образования «Крапивинский район»</w:t>
      </w:r>
      <w:r w:rsidR="00BF7B83" w:rsidRPr="00274FB2">
        <w:t xml:space="preserve">, изложить в новой редакции согласно приложению </w:t>
      </w:r>
      <w:r w:rsidR="00FA29DB" w:rsidRPr="00274FB2">
        <w:t xml:space="preserve">№ </w:t>
      </w:r>
      <w:r w:rsidR="00BF7B83" w:rsidRPr="00274FB2">
        <w:t>1</w:t>
      </w:r>
      <w:r w:rsidR="00904771" w:rsidRPr="00274FB2">
        <w:t>.</w:t>
      </w:r>
      <w:r w:rsidR="008672CD" w:rsidRPr="00274FB2">
        <w:t xml:space="preserve"> </w:t>
      </w:r>
    </w:p>
    <w:p w:rsidR="00B318FF" w:rsidRPr="00274FB2" w:rsidRDefault="00B318FF" w:rsidP="00274FB2">
      <w:r w:rsidRPr="00274FB2">
        <w:t xml:space="preserve">Контроль за </w:t>
      </w:r>
      <w:r w:rsidR="00BF7B83" w:rsidRPr="00274FB2">
        <w:t>ис</w:t>
      </w:r>
      <w:r w:rsidRPr="00274FB2">
        <w:t>полнением распоряжения</w:t>
      </w:r>
      <w:r w:rsidR="00A65909" w:rsidRPr="00274FB2">
        <w:t xml:space="preserve"> </w:t>
      </w:r>
      <w:r w:rsidR="00BF7B83" w:rsidRPr="00274FB2">
        <w:t>возложить на первого заместителя главы</w:t>
      </w:r>
      <w:r w:rsidR="009842FA" w:rsidRPr="00274FB2">
        <w:t xml:space="preserve"> </w:t>
      </w:r>
      <w:r w:rsidR="00BF7B83" w:rsidRPr="00274FB2">
        <w:t>-</w:t>
      </w:r>
      <w:r w:rsidR="009842FA" w:rsidRPr="00274FB2">
        <w:t xml:space="preserve"> </w:t>
      </w:r>
      <w:r w:rsidR="00BF7B83" w:rsidRPr="00274FB2">
        <w:t>заместителя главы по экономике Т.И.Климину</w:t>
      </w:r>
      <w:r w:rsidRPr="00274FB2">
        <w:t>.</w:t>
      </w:r>
    </w:p>
    <w:p w:rsidR="00B318FF" w:rsidRPr="00274FB2" w:rsidRDefault="00B318FF" w:rsidP="00274FB2">
      <w:r w:rsidRPr="00274FB2">
        <w:t>Распоряжение вступает в силу с момента подписания.</w:t>
      </w:r>
      <w:r w:rsidR="00BE71A6" w:rsidRPr="00274FB2">
        <w:t xml:space="preserve"> </w:t>
      </w:r>
    </w:p>
    <w:p w:rsidR="00B318FF" w:rsidRPr="00274FB2" w:rsidRDefault="00B318FF" w:rsidP="00274FB2"/>
    <w:p w:rsidR="00274FB2" w:rsidRPr="00274FB2" w:rsidRDefault="00B318FF" w:rsidP="00274FB2">
      <w:r w:rsidRPr="00274FB2">
        <w:t>Глава муниципального образования</w:t>
      </w:r>
    </w:p>
    <w:p w:rsidR="00B318FF" w:rsidRPr="00274FB2" w:rsidRDefault="00B318FF" w:rsidP="00274FB2">
      <w:r w:rsidRPr="00274FB2">
        <w:t>В.Альберт</w:t>
      </w:r>
    </w:p>
    <w:p w:rsidR="009842FA" w:rsidRPr="00274FB2" w:rsidRDefault="009842FA" w:rsidP="00274FB2"/>
    <w:p w:rsidR="00720FD6" w:rsidRPr="00274FB2" w:rsidRDefault="00FA29DB" w:rsidP="00274FB2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274FB2">
        <w:rPr>
          <w:rFonts w:cs="Arial"/>
          <w:b/>
          <w:bCs/>
          <w:kern w:val="28"/>
          <w:sz w:val="32"/>
          <w:szCs w:val="32"/>
        </w:rPr>
        <w:t>Приложение № 1</w:t>
      </w:r>
    </w:p>
    <w:p w:rsidR="00720FD6" w:rsidRPr="00274FB2" w:rsidRDefault="00FA29DB" w:rsidP="00274FB2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274FB2">
        <w:rPr>
          <w:rFonts w:cs="Arial"/>
          <w:b/>
          <w:bCs/>
          <w:kern w:val="28"/>
          <w:sz w:val="32"/>
          <w:szCs w:val="32"/>
        </w:rPr>
        <w:t xml:space="preserve">к </w:t>
      </w:r>
      <w:r w:rsidR="00720FD6" w:rsidRPr="00274FB2">
        <w:rPr>
          <w:rFonts w:cs="Arial"/>
          <w:b/>
          <w:bCs/>
          <w:kern w:val="28"/>
          <w:sz w:val="32"/>
          <w:szCs w:val="32"/>
        </w:rPr>
        <w:t>распоряжени</w:t>
      </w:r>
      <w:r w:rsidRPr="00274FB2">
        <w:rPr>
          <w:rFonts w:cs="Arial"/>
          <w:b/>
          <w:bCs/>
          <w:kern w:val="28"/>
          <w:sz w:val="32"/>
          <w:szCs w:val="32"/>
        </w:rPr>
        <w:t>ю</w:t>
      </w:r>
      <w:r w:rsidR="00720FD6" w:rsidRPr="00274FB2">
        <w:rPr>
          <w:rFonts w:cs="Arial"/>
          <w:b/>
          <w:bCs/>
          <w:kern w:val="28"/>
          <w:sz w:val="32"/>
          <w:szCs w:val="32"/>
        </w:rPr>
        <w:t xml:space="preserve"> администрации</w:t>
      </w:r>
    </w:p>
    <w:p w:rsidR="00F97D1C" w:rsidRPr="00274FB2" w:rsidRDefault="00F97D1C" w:rsidP="00274FB2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274FB2">
        <w:rPr>
          <w:rFonts w:cs="Arial"/>
          <w:b/>
          <w:bCs/>
          <w:kern w:val="28"/>
          <w:sz w:val="32"/>
          <w:szCs w:val="32"/>
        </w:rPr>
        <w:t>МО «Крапивинский район» № «</w:t>
      </w:r>
      <w:r w:rsidR="008D13EF" w:rsidRPr="00274FB2">
        <w:rPr>
          <w:rFonts w:cs="Arial"/>
          <w:b/>
          <w:bCs/>
          <w:kern w:val="28"/>
          <w:sz w:val="32"/>
          <w:szCs w:val="32"/>
        </w:rPr>
        <w:t>1555-р</w:t>
      </w:r>
      <w:r w:rsidRPr="00274FB2">
        <w:rPr>
          <w:rFonts w:cs="Arial"/>
          <w:b/>
          <w:bCs/>
          <w:kern w:val="28"/>
          <w:sz w:val="32"/>
          <w:szCs w:val="32"/>
        </w:rPr>
        <w:t>»</w:t>
      </w:r>
    </w:p>
    <w:p w:rsidR="00F97D1C" w:rsidRPr="00274FB2" w:rsidRDefault="00F97D1C" w:rsidP="00274FB2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274FB2">
        <w:rPr>
          <w:rFonts w:cs="Arial"/>
          <w:b/>
          <w:bCs/>
          <w:kern w:val="28"/>
          <w:sz w:val="32"/>
          <w:szCs w:val="32"/>
        </w:rPr>
        <w:t xml:space="preserve">от </w:t>
      </w:r>
      <w:r w:rsidR="008D13EF" w:rsidRPr="00274FB2">
        <w:rPr>
          <w:rFonts w:cs="Arial"/>
          <w:b/>
          <w:bCs/>
          <w:kern w:val="28"/>
          <w:sz w:val="32"/>
          <w:szCs w:val="32"/>
        </w:rPr>
        <w:t>13.11.2007 г.</w:t>
      </w:r>
    </w:p>
    <w:p w:rsidR="00A65909" w:rsidRPr="00274FB2" w:rsidRDefault="00A65909" w:rsidP="00274FB2"/>
    <w:p w:rsidR="00A5058F" w:rsidRPr="00274FB2" w:rsidRDefault="00A5058F" w:rsidP="00274FB2">
      <w:pPr>
        <w:jc w:val="center"/>
        <w:rPr>
          <w:rFonts w:cs="Arial"/>
          <w:b/>
          <w:bCs/>
          <w:iCs/>
          <w:sz w:val="30"/>
          <w:szCs w:val="28"/>
        </w:rPr>
      </w:pPr>
      <w:r w:rsidRPr="00274FB2">
        <w:rPr>
          <w:rFonts w:cs="Arial"/>
          <w:b/>
          <w:bCs/>
          <w:iCs/>
          <w:sz w:val="30"/>
          <w:szCs w:val="28"/>
        </w:rPr>
        <w:t xml:space="preserve">ПЕРЕЧЕНЬ ПОКАЗАТЕЛЕЙ ДЛЯ ОЦЕНКИ ЭФФЕКТИВНОСТИ СОЦИАЛЬНО-ЭКОНОМИЧЕСКОГО РАЗВИТИЯ </w:t>
      </w:r>
      <w:r w:rsidR="008C2219" w:rsidRPr="00274FB2">
        <w:rPr>
          <w:rFonts w:cs="Arial"/>
          <w:b/>
          <w:bCs/>
          <w:iCs/>
          <w:sz w:val="30"/>
          <w:szCs w:val="28"/>
        </w:rPr>
        <w:t>КРАПИВИНСКОГО РАЙОНА</w:t>
      </w:r>
      <w:r w:rsidRPr="00274FB2">
        <w:rPr>
          <w:rFonts w:cs="Arial"/>
          <w:b/>
          <w:bCs/>
          <w:iCs/>
          <w:sz w:val="30"/>
          <w:szCs w:val="28"/>
        </w:rPr>
        <w:t xml:space="preserve"> КЕМЕРОВСКОЙ ОБЛАСТИ</w:t>
      </w:r>
    </w:p>
    <w:p w:rsidR="00274FB2" w:rsidRPr="00274FB2" w:rsidRDefault="00274FB2" w:rsidP="00274FB2"/>
    <w:tbl>
      <w:tblPr>
        <w:tblW w:w="147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300"/>
        <w:gridCol w:w="1620"/>
        <w:gridCol w:w="1080"/>
        <w:gridCol w:w="1260"/>
        <w:gridCol w:w="1260"/>
        <w:gridCol w:w="1260"/>
        <w:gridCol w:w="1260"/>
      </w:tblGrid>
      <w:tr w:rsidR="008C2219" w:rsidRPr="00274FB2" w:rsidTr="002A125D">
        <w:trPr>
          <w:trHeight w:val="344"/>
          <w:tblHeader/>
        </w:trPr>
        <w:tc>
          <w:tcPr>
            <w:tcW w:w="720" w:type="dxa"/>
            <w:vMerge w:val="restart"/>
            <w:vAlign w:val="center"/>
          </w:tcPr>
          <w:p w:rsidR="008C2219" w:rsidRPr="00274FB2" w:rsidRDefault="008C2219" w:rsidP="00274FB2">
            <w:pPr>
              <w:pStyle w:val="Table0"/>
            </w:pPr>
          </w:p>
        </w:tc>
        <w:tc>
          <w:tcPr>
            <w:tcW w:w="6300" w:type="dxa"/>
            <w:vMerge w:val="restart"/>
            <w:vAlign w:val="center"/>
          </w:tcPr>
          <w:p w:rsidR="008C2219" w:rsidRPr="00274FB2" w:rsidRDefault="008C2219" w:rsidP="00274FB2">
            <w:pPr>
              <w:pStyle w:val="Table0"/>
            </w:pPr>
            <w:r w:rsidRPr="00274FB2">
              <w:t>Показатель</w:t>
            </w:r>
          </w:p>
        </w:tc>
        <w:tc>
          <w:tcPr>
            <w:tcW w:w="1620" w:type="dxa"/>
            <w:vMerge w:val="restart"/>
            <w:vAlign w:val="center"/>
          </w:tcPr>
          <w:p w:rsidR="008C2219" w:rsidRPr="00274FB2" w:rsidRDefault="008C2219" w:rsidP="00274FB2">
            <w:pPr>
              <w:pStyle w:val="Table0"/>
            </w:pPr>
            <w:r w:rsidRPr="00274FB2">
              <w:t>Единица измерения</w:t>
            </w:r>
          </w:p>
        </w:tc>
        <w:tc>
          <w:tcPr>
            <w:tcW w:w="1080" w:type="dxa"/>
            <w:vMerge w:val="restart"/>
            <w:vAlign w:val="center"/>
          </w:tcPr>
          <w:p w:rsidR="008C2219" w:rsidRPr="00274FB2" w:rsidRDefault="008C2219" w:rsidP="00274FB2">
            <w:pPr>
              <w:pStyle w:val="Table0"/>
            </w:pPr>
            <w:r w:rsidRPr="00274FB2">
              <w:t>2006 год</w:t>
            </w:r>
          </w:p>
        </w:tc>
        <w:tc>
          <w:tcPr>
            <w:tcW w:w="1260" w:type="dxa"/>
            <w:vMerge w:val="restart"/>
            <w:vAlign w:val="center"/>
          </w:tcPr>
          <w:p w:rsidR="008C2219" w:rsidRPr="00274FB2" w:rsidRDefault="008C2219" w:rsidP="00274FB2">
            <w:pPr>
              <w:pStyle w:val="Table0"/>
            </w:pPr>
            <w:r w:rsidRPr="00274FB2">
              <w:t>2007 год</w:t>
            </w:r>
          </w:p>
          <w:p w:rsidR="008C2219" w:rsidRPr="00274FB2" w:rsidRDefault="008C2219" w:rsidP="00274FB2">
            <w:pPr>
              <w:pStyle w:val="Table0"/>
            </w:pPr>
            <w:r w:rsidRPr="00274FB2">
              <w:t>(оценка)</w:t>
            </w:r>
          </w:p>
        </w:tc>
        <w:tc>
          <w:tcPr>
            <w:tcW w:w="3780" w:type="dxa"/>
            <w:gridSpan w:val="3"/>
            <w:vAlign w:val="center"/>
          </w:tcPr>
          <w:p w:rsidR="008C2219" w:rsidRPr="00274FB2" w:rsidRDefault="008C2219" w:rsidP="00274FB2">
            <w:pPr>
              <w:pStyle w:val="Table0"/>
            </w:pPr>
            <w:r w:rsidRPr="00274FB2">
              <w:t>Плановый период</w:t>
            </w:r>
          </w:p>
        </w:tc>
      </w:tr>
      <w:tr w:rsidR="008C2219" w:rsidRPr="00274FB2" w:rsidTr="002A125D">
        <w:trPr>
          <w:trHeight w:val="406"/>
          <w:tblHeader/>
        </w:trPr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vMerge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620" w:type="dxa"/>
            <w:vMerge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vMerge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Merge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  <w:r w:rsidRPr="00274FB2">
              <w:t>2008 год</w:t>
            </w: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  <w:r w:rsidRPr="00274FB2">
              <w:t>2009 год</w:t>
            </w: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  <w:r w:rsidRPr="00274FB2">
              <w:t>2010 год</w:t>
            </w:r>
          </w:p>
        </w:tc>
      </w:tr>
      <w:tr w:rsidR="008C2219" w:rsidRPr="00274FB2" w:rsidTr="002A125D">
        <w:trPr>
          <w:tblHeader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  <w:r w:rsidRPr="00274FB2">
              <w:t>1</w:t>
            </w:r>
          </w:p>
        </w:tc>
        <w:tc>
          <w:tcPr>
            <w:tcW w:w="6300" w:type="dxa"/>
            <w:vAlign w:val="center"/>
          </w:tcPr>
          <w:p w:rsidR="008C2219" w:rsidRPr="00274FB2" w:rsidRDefault="008C2219" w:rsidP="00274FB2">
            <w:pPr>
              <w:pStyle w:val="Table"/>
            </w:pPr>
            <w:r w:rsidRPr="00274FB2">
              <w:t>2</w:t>
            </w:r>
          </w:p>
        </w:tc>
        <w:tc>
          <w:tcPr>
            <w:tcW w:w="1620" w:type="dxa"/>
            <w:vAlign w:val="center"/>
          </w:tcPr>
          <w:p w:rsidR="008C2219" w:rsidRPr="00274FB2" w:rsidRDefault="008C2219" w:rsidP="00274FB2">
            <w:pPr>
              <w:pStyle w:val="Table"/>
            </w:pPr>
            <w:r w:rsidRPr="00274FB2">
              <w:t>3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  <w:r w:rsidRPr="00274FB2">
              <w:t>4</w:t>
            </w: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  <w:r w:rsidRPr="00274FB2">
              <w:t>5</w:t>
            </w: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  <w:r w:rsidRPr="00274FB2">
              <w:t>6</w:t>
            </w: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  <w:r w:rsidRPr="00274FB2">
              <w:t>7</w:t>
            </w: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  <w:r w:rsidRPr="00274FB2">
              <w:t>8</w:t>
            </w: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ЭКОНОМИЧЕСКИЙ РОСТ</w:t>
            </w: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lastRenderedPageBreak/>
              <w:t>Показатели, динамика роста которых отражает эффективность</w:t>
            </w:r>
            <w:r w:rsidR="00BE71A6" w:rsidRPr="00274FB2">
              <w:t xml:space="preserve"> </w:t>
            </w:r>
            <w:r w:rsidRPr="00274FB2">
              <w:t>социально-экономического развития муниципального образования</w:t>
            </w:r>
          </w:p>
        </w:tc>
      </w:tr>
      <w:tr w:rsidR="008C2219" w:rsidRPr="00274FB2" w:rsidTr="002A125D">
        <w:tc>
          <w:tcPr>
            <w:tcW w:w="720" w:type="dxa"/>
            <w:tcBorders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1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Объем инвестиций в основной капитал (за исключением бюджетных средств) в расчете на одного человека (в ценах 2003 года)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тыс.</w:t>
            </w:r>
            <w:r w:rsidR="00BE71A6" w:rsidRPr="00274FB2">
              <w:t xml:space="preserve"> </w:t>
            </w:r>
            <w:r w:rsidRPr="00274FB2">
              <w:t>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в том числе от частной формы собственности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2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Расходы бюджета городского округа (муниципального района) на сельское хозяйство в расчете: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на один рубль произведенной сельскохозяйственной продукции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на одного жителя в сельской местности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3</w:t>
            </w:r>
          </w:p>
        </w:tc>
        <w:tc>
          <w:tcPr>
            <w:tcW w:w="6300" w:type="dxa"/>
            <w:tcBorders>
              <w:left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Удельный вес прибыльных крупных и</w:t>
            </w:r>
            <w:r w:rsidR="00BE71A6" w:rsidRPr="00274FB2">
              <w:t xml:space="preserve"> </w:t>
            </w:r>
            <w:r w:rsidRPr="00274FB2">
              <w:t>средних сельскохозяйственных организаций в их общем</w:t>
            </w:r>
            <w:r w:rsidR="00BE71A6" w:rsidRPr="00274FB2">
              <w:t xml:space="preserve"> </w:t>
            </w:r>
            <w:r w:rsidRPr="00274FB2">
              <w:t>числе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4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5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Доля оборота малых предприятий в общем объеме оборота организаций муниципального образования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6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Расходы бюджета городского округа (муниципального района) на поддержку и развитие малого предпринимательства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rPr>
          <w:trHeight w:val="472"/>
        </w:trPr>
        <w:tc>
          <w:tcPr>
            <w:tcW w:w="720" w:type="dxa"/>
            <w:vMerge w:val="restart"/>
            <w:tcBorders>
              <w:top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7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Динамика налоговых доходов бюджета городского округа (муниципального района)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vMerge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Динамика неналоговых доходов бюджета городского округа (муниципального района)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8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Расходы бюджета городского округа (муниципального района) на капитальные вложения – всего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в том числе: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rPr>
          <w:trHeight w:val="594"/>
        </w:trPr>
        <w:tc>
          <w:tcPr>
            <w:tcW w:w="720" w:type="dxa"/>
            <w:tcBorders>
              <w:top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на развитие транспортной инфраструктуры 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из них: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на дорожное хозяйство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на связь</w:t>
            </w:r>
          </w:p>
          <w:p w:rsidR="008C2219" w:rsidRPr="00274FB2" w:rsidRDefault="008C2219" w:rsidP="00274FB2">
            <w:pPr>
              <w:pStyle w:val="Table"/>
            </w:pP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Доля расходов бюджета городского округа (муниципального района) на капитальные вложения от общего объема расходов бюджета городского округа (муниципального района)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9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Площадь земельных участков, предоставленных для строительства – всего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в том числе: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га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площадь земельных участков, предоставленных для жилищного строительства</w:t>
            </w:r>
            <w:r w:rsidR="00BE71A6" w:rsidRPr="00274FB2">
              <w:t xml:space="preserve"> 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га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площадь земельных участков, предоставленных для комплексного освоения в целях жилищного </w:t>
            </w:r>
            <w:r w:rsidRPr="00274FB2">
              <w:lastRenderedPageBreak/>
              <w:t>строительства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lastRenderedPageBreak/>
              <w:t>га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lastRenderedPageBreak/>
              <w:t>Показатели, динамика снижения</w:t>
            </w:r>
            <w:r w:rsidR="00BE71A6" w:rsidRPr="00274FB2">
              <w:t xml:space="preserve"> </w:t>
            </w:r>
            <w:r w:rsidRPr="00274FB2">
              <w:t>которых отражает эффективность</w:t>
            </w:r>
            <w:r w:rsidR="00BE71A6" w:rsidRPr="00274FB2">
              <w:t xml:space="preserve"> </w:t>
            </w:r>
            <w:r w:rsidRPr="00274FB2">
              <w:t>социально-экономического развития муниципального образования</w:t>
            </w: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10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Уровень зарегистрированной</w:t>
            </w:r>
            <w:r w:rsidR="00BE71A6" w:rsidRPr="00274FB2">
              <w:t xml:space="preserve"> </w:t>
            </w:r>
            <w:r w:rsidRPr="00274FB2">
              <w:t>безработицы в среднем за год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  <w:r w:rsidR="00BE71A6" w:rsidRPr="00274FB2">
              <w:t xml:space="preserve"> </w:t>
            </w:r>
            <w:r w:rsidRPr="00274FB2">
              <w:t>к трудоспо-собному населению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11</w:t>
            </w:r>
          </w:p>
        </w:tc>
        <w:tc>
          <w:tcPr>
            <w:tcW w:w="6300" w:type="dxa"/>
            <w:tcBorders>
              <w:left w:val="single" w:sz="4" w:space="0" w:color="auto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Доля муниципальных дорог, не отвечающих нормативным требованиям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12</w:t>
            </w:r>
          </w:p>
        </w:tc>
        <w:tc>
          <w:tcPr>
            <w:tcW w:w="6300" w:type="dxa"/>
            <w:tcBorders>
              <w:left w:val="single" w:sz="4" w:space="0" w:color="auto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Время от подачи заявки на предоставление земельного участка для строительства до получения разрешения на строительство: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12.1</w:t>
            </w:r>
          </w:p>
        </w:tc>
        <w:tc>
          <w:tcPr>
            <w:tcW w:w="6300" w:type="dxa"/>
            <w:tcBorders>
              <w:left w:val="single" w:sz="4" w:space="0" w:color="auto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Для жилищного строительства</w:t>
            </w:r>
          </w:p>
          <w:p w:rsidR="008C2219" w:rsidRPr="00274FB2" w:rsidRDefault="008C2219" w:rsidP="00274FB2">
            <w:pPr>
              <w:pStyle w:val="Table"/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время от даты получения по результатам аукциона прав (собственности или аренды) на земельный участок до даты получения разрешения на строительство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дней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12.2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Для комплексного освоения в целях жилищного строительства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время от даты получения на аукционе прав аренды земельного участка для комплексного освоения в целях жилищного строительства до дня получения разрешения на строительство первого объекта жилищного строительства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дней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rPr>
          <w:trHeight w:val="77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12.3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Для строительства объектов, не являющихся объектами жилищного строительства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время от даты принятия заявления о выборе земельного участка и предварительном согласовании места размещения объекта до получения разрешения на строительство – в случаях, когда земельный участок предоставляется по процедуре предварительного согласования мест размещения объектов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дней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время от даты получения прав (собственности или аренды) на земельный участок по результатам торгов (конкурса или аукциона) до даты получения разрешения на строительство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дней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rPr>
          <w:trHeight w:val="1422"/>
        </w:trPr>
        <w:tc>
          <w:tcPr>
            <w:tcW w:w="7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13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Заявленная мощность, которая не была удовлетворена в связи с отсутствием технической возможности технологического присоединения к объектам электросетевого хозяйства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МВт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rPr>
          <w:trHeight w:val="1422"/>
        </w:trPr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Общий объем мощности, заявленной для технологического присоединения к объектам электросетевого хозяйства в отчетном году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МВт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ДОХОДЫ НАСЕЛЕНИЯ</w:t>
            </w: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динамика роста которых отражает эффективность</w:t>
            </w:r>
            <w:r w:rsidR="00BE71A6" w:rsidRPr="00274FB2">
              <w:t xml:space="preserve"> </w:t>
            </w:r>
            <w:r w:rsidRPr="00274FB2">
              <w:t>социально-экономического развития муниципального образования</w:t>
            </w: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14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15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Реальная среднемесячная начисленная заработная плата работников в сравнении с предыдущим годом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16</w:t>
            </w:r>
          </w:p>
        </w:tc>
        <w:tc>
          <w:tcPr>
            <w:tcW w:w="6300" w:type="dxa"/>
            <w:tcBorders>
              <w:left w:val="single" w:sz="4" w:space="0" w:color="auto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Индекс превышения среднедушевого оборота розничной торговли и объема платных услуг в муниципальном образовании относительно величины прожиточного минимума трудоспособного населения в Кемеровской области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17</w:t>
            </w:r>
          </w:p>
        </w:tc>
        <w:tc>
          <w:tcPr>
            <w:tcW w:w="6300" w:type="dxa"/>
            <w:tcBorders>
              <w:left w:val="single" w:sz="4" w:space="0" w:color="auto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Отношение среднемесячной номинальной начисленной заработной платы работников муниципальных учреждений к среднемесячной номинальной начисленной заработной плате в целом по муниципальному образованию: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учреждения здравоохранения и социальной защиты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учреждения образования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учреждения физической культуры и спорта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учреждения культуры и искусства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ПРАВОПОРЯДОК И ОБЩЕСТВЕННАЯ БЕЗОПАСНОСТЬ</w:t>
            </w: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top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динамика снижения</w:t>
            </w:r>
            <w:r w:rsidR="00BE71A6" w:rsidRPr="00274FB2">
              <w:t xml:space="preserve"> </w:t>
            </w:r>
            <w:r w:rsidRPr="00274FB2">
              <w:t>которых отражает эффективность</w:t>
            </w:r>
            <w:r w:rsidR="00BE71A6" w:rsidRPr="00274FB2">
              <w:t xml:space="preserve"> </w:t>
            </w:r>
            <w:r w:rsidRPr="00274FB2">
              <w:t>социально-экономического развития муниципального образования</w:t>
            </w:r>
          </w:p>
        </w:tc>
      </w:tr>
      <w:tr w:rsidR="008C2219" w:rsidRPr="00274FB2" w:rsidTr="002A125D"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t>18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Доля преступлений, совершенных несовершеннолетними или при их соучастии, в общем числе зарегистрированных преступлений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используемые для экспертной оценки</w:t>
            </w:r>
          </w:p>
        </w:tc>
      </w:tr>
      <w:tr w:rsidR="008C2219" w:rsidRPr="00274FB2" w:rsidTr="002A125D">
        <w:tc>
          <w:tcPr>
            <w:tcW w:w="720" w:type="dxa"/>
            <w:tcBorders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19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Расходы бюджета городского округа (муниципального района) на правоохранительную деятельность – всего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в том числе на содержание криминальной милиции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</w:tcPr>
          <w:p w:rsidR="008C2219" w:rsidRPr="00274FB2" w:rsidRDefault="008C2219" w:rsidP="00274FB2">
            <w:pPr>
              <w:pStyle w:val="Table"/>
            </w:pPr>
            <w:r w:rsidRPr="00274FB2">
              <w:t>ЗДОРОВЬЕ НАСЕЛЕНИЯ</w:t>
            </w:r>
          </w:p>
        </w:tc>
      </w:tr>
      <w:tr w:rsidR="008C2219" w:rsidRPr="00274FB2" w:rsidTr="002A125D">
        <w:tc>
          <w:tcPr>
            <w:tcW w:w="14760" w:type="dxa"/>
            <w:gridSpan w:val="8"/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динамика роста которых отражает эффективность</w:t>
            </w:r>
            <w:r w:rsidR="00BE71A6" w:rsidRPr="00274FB2">
              <w:t xml:space="preserve"> </w:t>
            </w:r>
            <w:r w:rsidRPr="00274FB2">
              <w:t>социально-экономического развития муниципального образования</w:t>
            </w:r>
          </w:p>
        </w:tc>
      </w:tr>
      <w:tr w:rsidR="008C2219" w:rsidRPr="00274FB2" w:rsidTr="002A125D">
        <w:tc>
          <w:tcPr>
            <w:tcW w:w="720" w:type="dxa"/>
            <w:tcBorders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20 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Среднемесячная номинальная начисленная заработная плата работников муниципальных учреждений здравоохранения – всего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в том числе: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врачей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среднего медицинского персонала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lastRenderedPageBreak/>
              <w:t>21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Доля муниципальных учреждений здравоохранения, переведенных преимущественно на одноканальное финансирование через систему обязательного медицинского страхования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t>22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Доля муниципальных медицинских учреждений: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применяющих медико-экономические стандарты оказания медицинской помощи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переведенных на оплату медицинской помощи по результатам деятельности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переведенных на новую (отраслевую) систему оплаты труда, ориентированную на результат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23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Доля населенных пунктов, обеспеченных питьевой водой надлежащего качества: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в городских поселениях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в сельской местности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t>24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Удельный вес детей первой и второй групп здоровья в общей численности учащихся муниципальных общеобразовательных учреждений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динамика снижения</w:t>
            </w:r>
            <w:r w:rsidR="00BE71A6" w:rsidRPr="00274FB2">
              <w:t xml:space="preserve"> </w:t>
            </w:r>
            <w:r w:rsidRPr="00274FB2">
              <w:t>которых отражает эффективность</w:t>
            </w:r>
            <w:r w:rsidR="00BE71A6" w:rsidRPr="00274FB2">
              <w:t xml:space="preserve"> </w:t>
            </w:r>
            <w:r w:rsidRPr="00274FB2">
              <w:t>социально-экономического развития муниципального образования</w:t>
            </w: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25</w:t>
            </w: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Смертность населения</w:t>
            </w: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25.1</w:t>
            </w: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Младенческая</w:t>
            </w: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на 1 тыс. человек родивших-ся живыми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25.2</w:t>
            </w: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От 1 года до 4 лет</w:t>
            </w: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на 100 тыс. человек соответст-вующего возраста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25.3</w:t>
            </w: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От 5 до 9 лет</w:t>
            </w:r>
          </w:p>
          <w:p w:rsidR="008C2219" w:rsidRPr="00274FB2" w:rsidRDefault="008C2219" w:rsidP="00274FB2">
            <w:pPr>
              <w:pStyle w:val="Table"/>
            </w:pPr>
          </w:p>
          <w:p w:rsidR="008C2219" w:rsidRPr="00274FB2" w:rsidRDefault="008C2219" w:rsidP="00274FB2">
            <w:pPr>
              <w:pStyle w:val="Table"/>
            </w:pPr>
          </w:p>
          <w:p w:rsidR="008C2219" w:rsidRPr="00274FB2" w:rsidRDefault="008C2219" w:rsidP="00274FB2">
            <w:pPr>
              <w:pStyle w:val="Table"/>
            </w:pP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на 100 тыс. человек соответст-вующего возраста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25.4</w:t>
            </w: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От 10 до 14 лет</w:t>
            </w: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на 100 тыс. человек соответст-вующего возраста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25.5</w:t>
            </w: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От 15 до 19 лет </w:t>
            </w: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на 100 тыс. человек соответст-вующего возраста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25.6</w:t>
            </w: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Материнская</w:t>
            </w: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на 100 тыс. человек </w:t>
            </w:r>
            <w:r w:rsidRPr="00274FB2">
              <w:lastRenderedPageBreak/>
              <w:t>родивших-ся живыми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lastRenderedPageBreak/>
              <w:t>25.7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Смертность населения трудоспособного возраста, всего: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 xml:space="preserve"> в том числе по трем основным</w:t>
            </w:r>
            <w:r w:rsidR="00BE71A6" w:rsidRPr="00274FB2">
              <w:t xml:space="preserve"> </w:t>
            </w:r>
            <w:r w:rsidRPr="00274FB2">
              <w:t>причинам: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на 100 тыс. человек соответст-вующего возраста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сердечно-сосудистые заболевания</w:t>
            </w:r>
          </w:p>
          <w:p w:rsidR="008C2219" w:rsidRPr="00274FB2" w:rsidRDefault="008C2219" w:rsidP="00274FB2">
            <w:pPr>
              <w:pStyle w:val="Table"/>
            </w:pPr>
          </w:p>
          <w:p w:rsidR="008C2219" w:rsidRPr="00274FB2" w:rsidRDefault="008C2219" w:rsidP="00274FB2">
            <w:pPr>
              <w:pStyle w:val="Table"/>
            </w:pPr>
          </w:p>
          <w:p w:rsidR="008C2219" w:rsidRPr="00274FB2" w:rsidRDefault="008C2219" w:rsidP="00274FB2">
            <w:pPr>
              <w:pStyle w:val="Table"/>
            </w:pP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на 100 тыс. человек соответст-вующего возраста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онкологические заболевания</w:t>
            </w: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на 100 тыс. человек соответст-вующего возраста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внешние причины</w:t>
            </w:r>
          </w:p>
          <w:p w:rsidR="008C2219" w:rsidRPr="00274FB2" w:rsidRDefault="008C2219" w:rsidP="00274FB2">
            <w:pPr>
              <w:pStyle w:val="Table"/>
            </w:pPr>
          </w:p>
          <w:p w:rsidR="008C2219" w:rsidRPr="00274FB2" w:rsidRDefault="008C2219" w:rsidP="00274FB2">
            <w:pPr>
              <w:pStyle w:val="Table"/>
            </w:pPr>
          </w:p>
          <w:p w:rsidR="008C2219" w:rsidRPr="00274FB2" w:rsidRDefault="008C2219" w:rsidP="00274FB2">
            <w:pPr>
              <w:pStyle w:val="Table"/>
            </w:pPr>
          </w:p>
          <w:p w:rsidR="008C2219" w:rsidRPr="00274FB2" w:rsidRDefault="008C2219" w:rsidP="00274FB2">
            <w:pPr>
              <w:pStyle w:val="Table"/>
            </w:pP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на 100 тыс. человек соответст-вующего возраста</w:t>
            </w:r>
          </w:p>
          <w:p w:rsidR="008C2219" w:rsidRPr="00274FB2" w:rsidRDefault="008C2219" w:rsidP="00274FB2">
            <w:pPr>
              <w:pStyle w:val="Table"/>
            </w:pPr>
          </w:p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25.8</w:t>
            </w: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В результате дорожно-транспортных происшествий</w:t>
            </w: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на 100 тыс. человек соответст-вующего возраста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t>26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Средняя продолжительность временной нетрудоспособности в связи с заболеванием в расчете на одного работающего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дней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используемые для экспертной оценки и расчета неэффективных расходов</w:t>
            </w:r>
          </w:p>
        </w:tc>
      </w:tr>
      <w:tr w:rsidR="008C2219" w:rsidRPr="00274FB2" w:rsidTr="002A125D">
        <w:trPr>
          <w:trHeight w:val="1512"/>
        </w:trPr>
        <w:tc>
          <w:tcPr>
            <w:tcW w:w="720" w:type="dxa"/>
            <w:tcBorders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27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Расходы бюджета городского округа (муниципального района) на здравоохранение – всего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в том числе: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капитальные расходы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текущие расходы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из них расходы и начисления на оплату труда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28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Расходы бюджета городского округа (муниципального района) на здравоохранение в расчете на одного жителя – всего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в том числе на Территориальную программу государственных гарантий оказания гражданам Российской Федерации бесплатной медицинской </w:t>
            </w:r>
            <w:r w:rsidRPr="00274FB2">
              <w:lastRenderedPageBreak/>
              <w:t xml:space="preserve">помощи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lastRenderedPageBreak/>
              <w:t>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из них средства обязательного медицинского страхования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29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Число работающих в муниципальных учреждениях здравоохранения (на конец года):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штатные должности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единиц на 10 000 человек населения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занятые должности</w:t>
            </w:r>
          </w:p>
          <w:p w:rsidR="008C2219" w:rsidRPr="00274FB2" w:rsidRDefault="008C2219" w:rsidP="00274FB2">
            <w:pPr>
              <w:pStyle w:val="Table"/>
            </w:pPr>
          </w:p>
          <w:p w:rsidR="008C2219" w:rsidRPr="00274FB2" w:rsidRDefault="008C2219" w:rsidP="00274FB2">
            <w:pPr>
              <w:pStyle w:val="Table"/>
            </w:pP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единиц на 10 000 человек населения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физические лица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человек на 10 000 человек населения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Число врачей в муниципальных учреждениях здравоохранения (на конец года):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штатные должности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единиц на 10 000 человек населения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занятые должности</w:t>
            </w:r>
          </w:p>
          <w:p w:rsidR="008C2219" w:rsidRPr="00274FB2" w:rsidRDefault="008C2219" w:rsidP="00274FB2">
            <w:pPr>
              <w:pStyle w:val="Table"/>
            </w:pPr>
          </w:p>
          <w:p w:rsidR="008C2219" w:rsidRPr="00274FB2" w:rsidRDefault="008C2219" w:rsidP="00274FB2">
            <w:pPr>
              <w:pStyle w:val="Table"/>
            </w:pPr>
          </w:p>
          <w:p w:rsidR="008C2219" w:rsidRPr="00274FB2" w:rsidRDefault="008C2219" w:rsidP="00274FB2">
            <w:pPr>
              <w:pStyle w:val="Table"/>
            </w:pPr>
          </w:p>
          <w:p w:rsidR="008C2219" w:rsidRPr="00274FB2" w:rsidRDefault="008C2219" w:rsidP="00274FB2">
            <w:pPr>
              <w:pStyle w:val="Table"/>
            </w:pP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единиц на 10 000 человек населения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физические лица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человек на 10 000 человек населения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Число среднего медицинского персонала в муниципальных учреждениях здравоохранения на конец года: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штатные должности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единиц на 10 000 человек населения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занятые должности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единиц на 10 000 человек населения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физические лица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человек на 10 000 человек населения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lastRenderedPageBreak/>
              <w:t>30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  <w:rPr>
                <w:highlight w:val="yellow"/>
              </w:rPr>
            </w:pPr>
            <w:r w:rsidRPr="00274FB2">
              <w:t>Уровень госпитализации в государственные (муниципальные) учреждения здравоохранения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на 100 человек населения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t>31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Средняя продолжительность пребывания пациента на койке в муниципальных учреждениях здравоохранения</w:t>
            </w:r>
          </w:p>
          <w:p w:rsidR="008C2219" w:rsidRPr="00274FB2" w:rsidRDefault="008C2219" w:rsidP="00274FB2">
            <w:pPr>
              <w:pStyle w:val="Table"/>
              <w:rPr>
                <w:highlight w:val="yellow"/>
              </w:rPr>
            </w:pP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дней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t>32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  <w:rPr>
                <w:highlight w:val="yellow"/>
              </w:rPr>
            </w:pPr>
            <w:r w:rsidRPr="00274FB2">
              <w:t>Среднегодовая занятость койки в муниципальных учреждениях здравоохранения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дней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t>33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  <w:rPr>
                <w:highlight w:val="yellow"/>
              </w:rPr>
            </w:pPr>
            <w:r w:rsidRPr="00274FB2">
              <w:t>Число коек в муниципальных учреждениях здравоохранения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коек на 10 000 человек населения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t>34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Стоимость содержания одной койки в муниципальных учреждениях здравоохранения в сутки (без расходов, входящих в структуру тарифа по обязательному медицинскому страхованию)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t>35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Объем медицинской помощи в расчете на одного жителя, в том числе: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стационарная медицинская помощь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койко-дней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амбулаторно-поликлиническая помощь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посещений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дневные стационары всех типов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койко-дней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скорая медицинская помощь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вызовов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36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Стоимость единицы объема оказанной медицинской помощи, в том числе: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36.1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Стационарная медицинская помощь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в том числе: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расчетный норматив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фактическое значение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36.2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Амбулаторно-поликлиническая помощь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в том числе: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расчетный норматив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фактическое значение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36.3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Дневные стационары всех типов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в том числе: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расчетный норматив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фактическое значение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36.4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Скорая медицинская помощь 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в том числе: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расчетный норматив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фактическое значение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top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Расчет показателей для оценки эффективности социально-экономического развития муниципального образования</w:t>
            </w:r>
            <w:r w:rsidR="00BE71A6" w:rsidRPr="00274FB2">
              <w:t xml:space="preserve"> </w:t>
            </w:r>
            <w:r w:rsidRPr="00274FB2">
              <w:t>(производится согласно Методике оценки эффективности деятельности органов исполнительной власти субъектов Российской Федерации, утвержденной Комиссией при Президенте Российской Федерации по вопросам совершенствования государственного управления и правосудия</w:t>
            </w:r>
            <w:r w:rsidR="00BE71A6" w:rsidRPr="00274FB2">
              <w:t xml:space="preserve"> </w:t>
            </w:r>
            <w:r w:rsidRPr="00274FB2">
              <w:t>(протокол</w:t>
            </w:r>
            <w:r w:rsidR="00BE71A6" w:rsidRPr="00274FB2">
              <w:t xml:space="preserve"> </w:t>
            </w:r>
            <w:r w:rsidRPr="00274FB2">
              <w:t xml:space="preserve">от 18 июля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274FB2">
                <w:t>2007 г</w:t>
              </w:r>
            </w:smartTag>
            <w:r w:rsidRPr="00274FB2">
              <w:t>. № 1):</w:t>
            </w: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Сбалансированность Территориальной программы государственных гарантий оказания гражданам </w:t>
            </w:r>
            <w:r w:rsidRPr="00274FB2">
              <w:lastRenderedPageBreak/>
              <w:t>Российской Федерации бесплатной медицинской помощи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Эффективность управления кадровыми ресурсами в сфере здравоохранения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Эффективность управления больничной помощью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Эффективность управления объемами и стоимостью медицинской помощи: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стационарной медицинской помощи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амбулаторной медицинской помощи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скорой медицинской помощи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</w:tcPr>
          <w:p w:rsidR="008C2219" w:rsidRPr="00274FB2" w:rsidRDefault="008C2219" w:rsidP="00274FB2">
            <w:pPr>
              <w:pStyle w:val="Table"/>
            </w:pPr>
            <w:r w:rsidRPr="00274FB2">
              <w:t>ОБРАЗОВАНИЕ (ОБЩЕЕ)</w:t>
            </w:r>
          </w:p>
        </w:tc>
      </w:tr>
      <w:tr w:rsidR="008C2219" w:rsidRPr="00274FB2" w:rsidTr="002A125D">
        <w:tc>
          <w:tcPr>
            <w:tcW w:w="14760" w:type="dxa"/>
            <w:gridSpan w:val="8"/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динамика роста которых отражает эффективность</w:t>
            </w:r>
            <w:r w:rsidR="00BE71A6" w:rsidRPr="00274FB2">
              <w:t xml:space="preserve"> </w:t>
            </w:r>
            <w:r w:rsidRPr="00274FB2">
              <w:t>социально-экономического развития муниципального образования</w:t>
            </w:r>
          </w:p>
        </w:tc>
      </w:tr>
      <w:tr w:rsidR="008C2219" w:rsidRPr="00274FB2" w:rsidTr="002A125D"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t>37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Удельный вес лиц, сдавших единый государственный экзамен, от числа выпускников, участвовавших в едином государственном экзамене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t>38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Удельный вес лиц, участвовавших в едином государственном экзамене, от общей численности выпускников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t>39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Доля муниципальных общеобразовательных учреждений, переведенных: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на нормативное подушевое финансирование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на новую (отраслевую) систему оплаты труда, ориентированную на результат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40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Среднемесячная номинальная начисленная заработная плата работников муниципальных общеобразовательных учреждений – всего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в том числе:</w:t>
            </w:r>
          </w:p>
          <w:p w:rsidR="008C2219" w:rsidRPr="00274FB2" w:rsidRDefault="008C2219" w:rsidP="00274FB2">
            <w:pPr>
              <w:pStyle w:val="Table"/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  <w:p w:rsidR="008C2219" w:rsidRPr="00274FB2" w:rsidRDefault="008C2219" w:rsidP="00274FB2">
            <w:pPr>
              <w:pStyle w:val="Table"/>
            </w:pPr>
          </w:p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учителей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прочих работающих в общеобразовательных учреждениях (административно-управленческого, учебно-вспомогательного, младшего обслуживающего персонала, а также педагогических работников, не осуществляющих учебный процесс)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директоров и заместителей директоров общеобразовательных учреждений, имеющих учебную нагрузку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rPr>
          <w:trHeight w:val="1191"/>
        </w:trPr>
        <w:tc>
          <w:tcPr>
            <w:tcW w:w="720" w:type="dxa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41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Доля детей, оставшихся без попечения родителей, – всего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в том числе: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%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переданных неродственникам в приемные семьи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%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из них: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на усыновление (удочерение)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под опеку (попечительство)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охваченных другими формами семейного устройства </w:t>
            </w:r>
            <w:r w:rsidRPr="00274FB2">
              <w:lastRenderedPageBreak/>
              <w:t>(семейные детские дома, патронатные семьи)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lastRenderedPageBreak/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находящихся в государственных (муниципальных) учреждениях всех типов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% 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Число детей, оставшихся без попечения родителей, - всего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в том числе: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человек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переданных неродственникам в приемные семьи</w:t>
            </w: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человек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находящихся в государственных (муниципальных) учреждениях всех типов</w:t>
            </w: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человек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используемые для экспертной оценки и расчета неэффективных расходов</w:t>
            </w:r>
          </w:p>
        </w:tc>
      </w:tr>
      <w:tr w:rsidR="008C2219" w:rsidRPr="00274FB2" w:rsidTr="002A125D">
        <w:tc>
          <w:tcPr>
            <w:tcW w:w="720" w:type="dxa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42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Расходы</w:t>
            </w:r>
            <w:r w:rsidR="00BE71A6" w:rsidRPr="00274FB2">
              <w:t xml:space="preserve"> </w:t>
            </w:r>
            <w:r w:rsidRPr="00274FB2">
              <w:t>бюджета городского округа (муниципального района) на общее образование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в том числе: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капитальные расходы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текущие расходы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из них расходы и</w:t>
            </w:r>
            <w:r w:rsidR="00BE71A6" w:rsidRPr="00274FB2">
              <w:t xml:space="preserve"> </w:t>
            </w:r>
            <w:r w:rsidRPr="00274FB2">
              <w:t>начисления на оплату труда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43</w:t>
            </w: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Расходы</w:t>
            </w:r>
            <w:r w:rsidR="00BE71A6" w:rsidRPr="00274FB2">
              <w:t xml:space="preserve"> </w:t>
            </w:r>
            <w:r w:rsidRPr="00274FB2">
              <w:t xml:space="preserve">бюджета городского округа (муниципального района) в расчете на одного обучающегося в общеобразовательных учреждениях 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44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Численность учащихся, приходящихся на одного работающего в муниципальных общеобразовательных учреждениях, </w:t>
            </w:r>
            <w:r w:rsidRPr="00274FB2">
              <w:noBreakHyphen/>
              <w:t xml:space="preserve"> всего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человек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в том числе на одного учителя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человек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Общая численность всех работников муниципальных общеобразовательных учреждений: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штатные должности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единиц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физические лица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человек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Общая численность прочих работающих в общеобразовательных учреждениях (административно-управленческого, учебно-вспомогательного, младшего обслуживающего персонала, а также педагогических работников, не осуществляющих учебный процесс):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штатные должности</w:t>
            </w: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единиц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физические лица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человек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45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Средняя наполняемость классов в муниципальных общеобразовательных учреждениях: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в городских поселениях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человек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в сельской местности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человек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Число учеников в муниципальных общеобразовательных учреждениях: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в городских поселениях</w:t>
            </w: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человек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в сельской местности</w:t>
            </w: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человек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top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Расчет показателей для оценки эффективности социально-экономического развития муниципального образования</w:t>
            </w:r>
            <w:r w:rsidR="00BE71A6" w:rsidRPr="00274FB2">
              <w:t xml:space="preserve"> </w:t>
            </w:r>
            <w:r w:rsidRPr="00274FB2">
              <w:t>(производится согласно Методике оценки эффективности деятельности органов исполнительной власти субъектов Российской Федерации, утвержденной Комиссией при Президенте Российской Федерации по вопросам совершенствования государственного управления и правосудия</w:t>
            </w:r>
            <w:r w:rsidR="00BE71A6" w:rsidRPr="00274FB2">
              <w:t xml:space="preserve"> </w:t>
            </w:r>
            <w:r w:rsidRPr="00274FB2">
              <w:t>(протокол</w:t>
            </w:r>
            <w:r w:rsidR="00BE71A6" w:rsidRPr="00274FB2">
              <w:t xml:space="preserve"> </w:t>
            </w:r>
            <w:r w:rsidRPr="00274FB2">
              <w:t xml:space="preserve">от 18 июля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274FB2">
                <w:t>2007 г</w:t>
              </w:r>
            </w:smartTag>
            <w:r w:rsidRPr="00274FB2">
              <w:t>. № 1):</w:t>
            </w: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Эффективность управления кадровыми ресурсами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Эффективность наполняемости классов в общеобразовательных учреждениях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</w:tcPr>
          <w:p w:rsidR="008C2219" w:rsidRPr="00274FB2" w:rsidRDefault="008C2219" w:rsidP="00274FB2">
            <w:pPr>
              <w:pStyle w:val="Table"/>
            </w:pPr>
            <w:r w:rsidRPr="00274FB2">
              <w:t>ОБРАЗОВАНИЕ НАЧАЛЬНОЕ ПРОФЕССИОНАЛЬНОЕ</w:t>
            </w:r>
          </w:p>
        </w:tc>
      </w:tr>
      <w:tr w:rsidR="008C2219" w:rsidRPr="00274FB2" w:rsidTr="002A125D">
        <w:tc>
          <w:tcPr>
            <w:tcW w:w="14760" w:type="dxa"/>
            <w:gridSpan w:val="8"/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динамика роста которых отражает эффективность</w:t>
            </w:r>
            <w:r w:rsidR="00BE71A6" w:rsidRPr="00274FB2">
              <w:t xml:space="preserve"> </w:t>
            </w:r>
            <w:r w:rsidRPr="00274FB2">
              <w:t>социально-экономического развития муниципального образования</w:t>
            </w:r>
          </w:p>
        </w:tc>
      </w:tr>
      <w:tr w:rsidR="008C2219" w:rsidRPr="00274FB2" w:rsidTr="002A125D"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t>46</w:t>
            </w: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Доля выпускников государственных (муниципальных) учреждений начального профессионального образования, трудоустроившихся по полученной профессии в первый год, в общей численности выпускников таких учреждений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47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Доля привлеченных внебюджетных средств в общем объеме средств государственных (муниципальных) учреждений начального профессионального образования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используемые для экспертной оценки и расчета неэффективных расходов</w:t>
            </w: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48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Отношение числа учащихся 9-х классов к числу обучающихся на первых курсах в государственных (муниципальных) учреждениях начального профессионального образования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человек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Отношение числа учащихся 11-х классов к числу обучающихся на первых курсах в государственных (муниципальных) учреждениях начального профессионального образования</w:t>
            </w:r>
          </w:p>
          <w:p w:rsidR="008C2219" w:rsidRPr="00274FB2" w:rsidRDefault="008C2219" w:rsidP="00274FB2">
            <w:pPr>
              <w:pStyle w:val="Table"/>
            </w:pPr>
          </w:p>
          <w:p w:rsidR="008C2219" w:rsidRPr="00274FB2" w:rsidRDefault="008C2219" w:rsidP="00274FB2">
            <w:pPr>
              <w:pStyle w:val="Table"/>
            </w:pPr>
          </w:p>
          <w:p w:rsidR="008C2219" w:rsidRPr="00274FB2" w:rsidRDefault="008C2219" w:rsidP="00274FB2">
            <w:pPr>
              <w:pStyle w:val="Table"/>
            </w:pP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КУЛЬТУРА, ФИЗИЧЕСКАЯ КУЛЬТУРА И СПОРТ</w:t>
            </w: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динамика роста которых отражает эффективность</w:t>
            </w:r>
            <w:r w:rsidR="00BE71A6" w:rsidRPr="00274FB2">
              <w:t xml:space="preserve"> </w:t>
            </w:r>
            <w:r w:rsidRPr="00274FB2">
              <w:t>социально-экономического развития муниципального образования</w:t>
            </w: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49</w:t>
            </w:r>
          </w:p>
        </w:tc>
        <w:tc>
          <w:tcPr>
            <w:tcW w:w="6300" w:type="dxa"/>
            <w:tcBorders>
              <w:left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Удельный вес населения, систематически занимающегося физической культурой и спортом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% 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50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Обеспеченность спортивными (плоскостными) сооружениями в муниципальном образовании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 кв. метров на 10000 населения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51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Количество экземпляров библиотечного фонда общедоступных библиотек на 1000 человек населения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штук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52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Удельный вес населения, участвующего в культурно-досуговых мероприятиях, проводимых муниципальными организациями культуры, и в работе любительских объединений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используемые для экспертной оценки</w:t>
            </w:r>
          </w:p>
        </w:tc>
      </w:tr>
      <w:tr w:rsidR="008C2219" w:rsidRPr="00274FB2" w:rsidTr="002A125D">
        <w:tc>
          <w:tcPr>
            <w:tcW w:w="720" w:type="dxa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53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Расходы бюджета городского округа (муниципального района) на культуру (физическую культуру и спорт) – всего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lastRenderedPageBreak/>
              <w:t>в том числе: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lastRenderedPageBreak/>
              <w:t>тыс. 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капитальные расходы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текущие расходы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из них: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расходы и начисления на оплату труда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на одного жителя</w:t>
            </w:r>
          </w:p>
          <w:p w:rsidR="008C2219" w:rsidRPr="00274FB2" w:rsidRDefault="008C2219" w:rsidP="00274FB2">
            <w:pPr>
              <w:pStyle w:val="Table"/>
            </w:pP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ЖИЛИЩНО-КОММУНАЛЬНОЕ ХОЗЯЙСТВО</w:t>
            </w: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динамика роста которых отражает эффективность</w:t>
            </w:r>
            <w:r w:rsidR="00BE71A6" w:rsidRPr="00274FB2">
              <w:t xml:space="preserve"> </w:t>
            </w:r>
            <w:r w:rsidRPr="00274FB2">
              <w:t>социально-экономического развития муниципального образования</w:t>
            </w:r>
          </w:p>
        </w:tc>
      </w:tr>
      <w:tr w:rsidR="008C2219" w:rsidRPr="00274FB2" w:rsidTr="002A125D">
        <w:tc>
          <w:tcPr>
            <w:tcW w:w="720" w:type="dxa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54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Доля многоквартирных домов городского округа (муниципального района), в которых собственники помещений выбрали и реализуют способ управления многоквартирными домами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в том числе: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rPr>
          <w:trHeight w:val="559"/>
        </w:trPr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54.1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Непосредственное управление собственниками 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помещений в многоквартирном доме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54.2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Управление товариществом собственников жилья либо жилищным кооперативом или иным специализированным потребительским кооперативом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54.3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Управление управляющей организацией 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в том числе: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в форме муниципального учреждения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rPr>
          <w:trHeight w:val="604"/>
        </w:trPr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в форме муниципального предприятия</w:t>
            </w:r>
          </w:p>
          <w:p w:rsidR="008C2219" w:rsidRPr="00274FB2" w:rsidRDefault="008C2219" w:rsidP="00274FB2">
            <w:pPr>
              <w:pStyle w:val="Table"/>
            </w:pPr>
          </w:p>
          <w:p w:rsidR="008C2219" w:rsidRPr="00274FB2" w:rsidRDefault="008C2219" w:rsidP="00274FB2">
            <w:pPr>
              <w:pStyle w:val="Table"/>
            </w:pP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54.4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Управление хозяйственными обществами со 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100-процентной долей участия, находящейся в муниципальной собственности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54.5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Управление хозяйственными обществами с долей участия, не превышающей 25 %, находящейся в муниципальной собственности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55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Доля муниципального имущества коммунального хозяйства (канализация, электрические и тепловые сети и так далее), переданного в управление, аренду, концессию и на иных правовых основаниях организациям частной формы собственности, в общем объеме муниципального имущества коммунального хозяйства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из них хозяйственным обществам с долей участия, не превышающей 25%, находящейся в муниципальной собственности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56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Доля объема отпуска холодной воды, счет за которую выставлен по показаниям приборов учета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Доля объема отпуска горячей воды, счет за которую выставлен по показаниям приборов учета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Доля объема отпуска газа, счет за который выставлен по показаниям приборов учета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Доля объема отпуска электрической энергии, счет за которую выставлен по показаниям приборов учета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56.4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Доля объема отпуска тепловой энергии, счет за которую выставлен по показаниям приборов учета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динамика снижения</w:t>
            </w:r>
            <w:r w:rsidR="00BE71A6" w:rsidRPr="00274FB2">
              <w:t xml:space="preserve"> </w:t>
            </w:r>
            <w:r w:rsidRPr="00274FB2">
              <w:t>которых отражает эффективность</w:t>
            </w:r>
            <w:r w:rsidR="00BE71A6" w:rsidRPr="00274FB2">
              <w:t xml:space="preserve"> </w:t>
            </w:r>
            <w:r w:rsidRPr="00274FB2">
              <w:t>социально-экономического развития муниципального образования</w:t>
            </w: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57</w:t>
            </w:r>
          </w:p>
        </w:tc>
        <w:tc>
          <w:tcPr>
            <w:tcW w:w="6300" w:type="dxa"/>
            <w:tcBorders>
              <w:left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Доля убыточных организаций жилищно-коммунального хозяйства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58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Удельный вес потерь воды в процессе производства и транспортировки до потребителей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Удельный вес потерь тепловой энергии в процессе производства и транспортировки до потребителей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Удельный вес потерь электрической энергии в процессе производства и транспортировки до потребителей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используемые для экспертной оценки и расчета неэффективных расходов</w:t>
            </w:r>
          </w:p>
        </w:tc>
      </w:tr>
      <w:tr w:rsidR="008C2219" w:rsidRPr="00274FB2" w:rsidTr="002A125D">
        <w:tc>
          <w:tcPr>
            <w:tcW w:w="720" w:type="dxa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59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Расходы бюджета городского округа (муниципального района) на финансирование жилищно-коммунального хозяйства – всего</w:t>
            </w:r>
          </w:p>
          <w:p w:rsidR="008C2219" w:rsidRPr="00274FB2" w:rsidRDefault="008C2219" w:rsidP="00274FB2">
            <w:pPr>
              <w:pStyle w:val="Table"/>
            </w:pPr>
            <w:r w:rsidRPr="00274FB2">
              <w:t>в том числе: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на компенсацию разницы между экономически обоснованными тарифами и тарифами, установленными для населения, и на покрытие убытков, возникших в связи с применением регулируемых цен на жилищно-коммунальные услуги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на увеличение стоимости основных средств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 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top w:val="nil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Расчет показателей для оценки эффективности социально-экономического развития муниципального образования</w:t>
            </w:r>
            <w:r w:rsidR="00BE71A6" w:rsidRPr="00274FB2">
              <w:t xml:space="preserve"> </w:t>
            </w:r>
            <w:r w:rsidRPr="00274FB2">
              <w:t>( производится согласно Методике оценки эффективности деятельности органов исполнительной власти субъектов Российской Федерации, утвержденной Комиссией при Президенте Российской Федерации по вопросам совершенствования государственного управления и правосудия</w:t>
            </w:r>
            <w:r w:rsidR="00BE71A6" w:rsidRPr="00274FB2">
              <w:t xml:space="preserve"> </w:t>
            </w:r>
            <w:r w:rsidRPr="00274FB2">
              <w:t>(протокол</w:t>
            </w:r>
            <w:r w:rsidR="00BE71A6" w:rsidRPr="00274FB2">
              <w:t xml:space="preserve"> </w:t>
            </w:r>
            <w:r w:rsidRPr="00274FB2">
              <w:t xml:space="preserve">от 18 июля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274FB2">
                <w:t>2007 г</w:t>
              </w:r>
            </w:smartTag>
            <w:r w:rsidRPr="00274FB2">
              <w:t>. № 1) :</w:t>
            </w: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Эффективность управления в области жилищно-коммунального хозяйства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ДОСТУПНОСТЬ И КАЧЕСТВО ЖИЛЬЯ</w:t>
            </w:r>
          </w:p>
        </w:tc>
      </w:tr>
      <w:tr w:rsidR="008C2219" w:rsidRPr="00274FB2" w:rsidTr="002A125D">
        <w:tc>
          <w:tcPr>
            <w:tcW w:w="14760" w:type="dxa"/>
            <w:gridSpan w:val="8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динамика роста которых отражает эффективность</w:t>
            </w:r>
            <w:r w:rsidR="00BE71A6" w:rsidRPr="00274FB2">
              <w:t xml:space="preserve"> </w:t>
            </w:r>
            <w:r w:rsidRPr="00274FB2">
              <w:t>социально-экономического развития муниципального образования</w:t>
            </w:r>
          </w:p>
        </w:tc>
      </w:tr>
      <w:tr w:rsidR="008C2219" w:rsidRPr="00274FB2" w:rsidTr="002A125D">
        <w:tc>
          <w:tcPr>
            <w:tcW w:w="720" w:type="dxa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60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Общая площадь жилых помещений, приходящаяся в среднем на одного жителя городского округа (муниципального района) - всего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кв. метров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в том числе введенная в действие за год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кв. метров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динамика снижения</w:t>
            </w:r>
            <w:r w:rsidR="00BE71A6" w:rsidRPr="00274FB2">
              <w:t xml:space="preserve"> </w:t>
            </w:r>
            <w:r w:rsidRPr="00274FB2">
              <w:t>которых отражает эффективность</w:t>
            </w:r>
            <w:r w:rsidR="00BE71A6" w:rsidRPr="00274FB2">
              <w:t xml:space="preserve"> </w:t>
            </w:r>
            <w:r w:rsidRPr="00274FB2">
              <w:t>социально-экономического развития муниципального образования</w:t>
            </w: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61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 xml:space="preserve">Отношение средней цены одного квадратного метра общей площади к среднедушевым доходам населения в городском округе (муниципальном районе): 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на вторичном рынке жилья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лет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на первичном рынке жилья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лет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rPr>
          <w:trHeight w:val="630"/>
        </w:trPr>
        <w:tc>
          <w:tcPr>
            <w:tcW w:w="720" w:type="dxa"/>
            <w:tcBorders>
              <w:top w:val="nil"/>
              <w:bottom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Цена одного квадратного метра общей площади на первичном рынке жилья</w:t>
            </w: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Цена одного квадратного метра общей площади на вторичном рынке жилья</w:t>
            </w:r>
          </w:p>
        </w:tc>
        <w:tc>
          <w:tcPr>
            <w:tcW w:w="162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62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Доля населения, проживающего в многоквартирных домах, признанных в установленном порядке аварийными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14760" w:type="dxa"/>
            <w:gridSpan w:val="8"/>
          </w:tcPr>
          <w:p w:rsidR="008C2219" w:rsidRPr="00274FB2" w:rsidRDefault="008C2219" w:rsidP="00274FB2">
            <w:pPr>
              <w:pStyle w:val="Table"/>
            </w:pPr>
            <w:r w:rsidRPr="00274FB2">
              <w:t>МУНИЦИПАЛЬНОЕ УПРАВЛЕНИЕ</w:t>
            </w:r>
          </w:p>
        </w:tc>
      </w:tr>
      <w:tr w:rsidR="008C2219" w:rsidRPr="00274FB2" w:rsidTr="002A125D">
        <w:tc>
          <w:tcPr>
            <w:tcW w:w="14760" w:type="dxa"/>
            <w:gridSpan w:val="8"/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динамика роста которых отражает эффективность</w:t>
            </w:r>
            <w:r w:rsidR="00BE71A6" w:rsidRPr="00274FB2">
              <w:t xml:space="preserve"> </w:t>
            </w:r>
            <w:r w:rsidRPr="00274FB2">
              <w:t>социально-экономического развития муниципального образования</w:t>
            </w:r>
          </w:p>
        </w:tc>
      </w:tr>
      <w:tr w:rsidR="008C2219" w:rsidRPr="00274FB2" w:rsidTr="002A125D"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t>63</w:t>
            </w: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Доля автономных учреждений от общего числа муниципальных учреждений в муниципальном образовании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t>64</w:t>
            </w: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Доля расходов бюджета городского округа (муниципального района) на финансирование услуг социальной сферы, оказываемых автономными учреждениями и немуниципальными организациями, в общем объеме расходов бюджета городского округа (муниципального района)</w:t>
            </w:r>
            <w:r w:rsidR="00BE71A6" w:rsidRPr="00274FB2">
              <w:t xml:space="preserve"> </w:t>
            </w:r>
            <w:r w:rsidRPr="00274FB2">
              <w:t>на финансирование отраслей социальной сферы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rPr>
          <w:trHeight w:val="1798"/>
        </w:trPr>
        <w:tc>
          <w:tcPr>
            <w:tcW w:w="720" w:type="dxa"/>
          </w:tcPr>
          <w:p w:rsidR="008C2219" w:rsidRPr="00274FB2" w:rsidRDefault="008C2219" w:rsidP="00274FB2">
            <w:pPr>
              <w:pStyle w:val="Table"/>
            </w:pPr>
            <w:r w:rsidRPr="00274FB2">
              <w:t>65</w:t>
            </w: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Доля расходов бюджета городского округа (муниципального района), формируемых в рамках программ, в общем объеме расходов бюджета городского округа (муниципального района)</w:t>
            </w:r>
            <w:r w:rsidR="00BE71A6" w:rsidRPr="00274FB2">
              <w:t xml:space="preserve"> </w:t>
            </w:r>
            <w:r w:rsidRPr="00274FB2">
              <w:t>(без</w:t>
            </w:r>
            <w:r w:rsidR="00BE71A6" w:rsidRPr="00274FB2">
              <w:t xml:space="preserve"> </w:t>
            </w:r>
            <w:r w:rsidRPr="00274FB2">
              <w:t>учета субвенций на исполнение делегируемых полномочий)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%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rPr>
          <w:trHeight w:val="582"/>
        </w:trPr>
        <w:tc>
          <w:tcPr>
            <w:tcW w:w="14760" w:type="dxa"/>
            <w:gridSpan w:val="8"/>
          </w:tcPr>
          <w:p w:rsidR="008C2219" w:rsidRPr="00274FB2" w:rsidRDefault="008C2219" w:rsidP="00274FB2">
            <w:pPr>
              <w:pStyle w:val="Table"/>
            </w:pPr>
            <w:r w:rsidRPr="00274FB2">
              <w:t>Показатели, динамика снижения</w:t>
            </w:r>
            <w:r w:rsidR="00BE71A6" w:rsidRPr="00274FB2">
              <w:t xml:space="preserve"> </w:t>
            </w:r>
            <w:r w:rsidRPr="00274FB2">
              <w:t>которых отражает эффективность</w:t>
            </w:r>
            <w:r w:rsidR="00BE71A6" w:rsidRPr="00274FB2">
              <w:t xml:space="preserve"> </w:t>
            </w:r>
            <w:r w:rsidRPr="00274FB2">
              <w:t>социально-экономического развития муниципального образования</w:t>
            </w:r>
          </w:p>
        </w:tc>
      </w:tr>
      <w:tr w:rsidR="008C2219" w:rsidRPr="00274FB2" w:rsidTr="002A125D">
        <w:tc>
          <w:tcPr>
            <w:tcW w:w="720" w:type="dxa"/>
            <w:tcBorders>
              <w:bottom w:val="single" w:sz="4" w:space="0" w:color="auto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66</w:t>
            </w:r>
          </w:p>
        </w:tc>
        <w:tc>
          <w:tcPr>
            <w:tcW w:w="6300" w:type="dxa"/>
            <w:shd w:val="clear" w:color="auto" w:fill="auto"/>
          </w:tcPr>
          <w:p w:rsidR="008C2219" w:rsidRPr="00274FB2" w:rsidRDefault="008C2219" w:rsidP="00274FB2">
            <w:pPr>
              <w:pStyle w:val="Table"/>
            </w:pPr>
            <w:r w:rsidRPr="00274FB2">
              <w:t>Расходы бюджета городского округа (муниципального района)</w:t>
            </w:r>
            <w:r w:rsidR="00BE71A6" w:rsidRPr="00274FB2">
              <w:t xml:space="preserve"> </w:t>
            </w:r>
            <w:r w:rsidRPr="00274FB2">
              <w:t>на содержание работников органов местного самоуправления в</w:t>
            </w:r>
            <w:r w:rsidR="00BE71A6" w:rsidRPr="00274FB2">
              <w:t xml:space="preserve"> </w:t>
            </w:r>
            <w:r w:rsidRPr="00274FB2">
              <w:t>расчете на одного жителя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bottom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67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Объемы просроченной кредиторской задолженности муниципальных учреждений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</w:t>
            </w:r>
            <w:r w:rsidR="00BE71A6" w:rsidRPr="00274FB2">
              <w:t xml:space="preserve"> </w:t>
            </w: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  <w:tr w:rsidR="008C2219" w:rsidRPr="00274FB2" w:rsidTr="002A125D">
        <w:tc>
          <w:tcPr>
            <w:tcW w:w="720" w:type="dxa"/>
            <w:tcBorders>
              <w:top w:val="nil"/>
            </w:tcBorders>
          </w:tcPr>
          <w:p w:rsidR="008C2219" w:rsidRPr="00274FB2" w:rsidRDefault="008C2219" w:rsidP="00274FB2">
            <w:pPr>
              <w:pStyle w:val="Table"/>
            </w:pPr>
            <w:r w:rsidRPr="00274FB2">
              <w:t>67.1</w:t>
            </w:r>
          </w:p>
        </w:tc>
        <w:tc>
          <w:tcPr>
            <w:tcW w:w="6300" w:type="dxa"/>
          </w:tcPr>
          <w:p w:rsidR="008C2219" w:rsidRPr="00274FB2" w:rsidRDefault="008C2219" w:rsidP="00274FB2">
            <w:pPr>
              <w:pStyle w:val="Table"/>
            </w:pPr>
            <w:r w:rsidRPr="00274FB2">
              <w:t>Объем задолженности бюджета городского округа (муниципального района) по исполнению обязательств перед гражданами</w:t>
            </w:r>
          </w:p>
        </w:tc>
        <w:tc>
          <w:tcPr>
            <w:tcW w:w="1620" w:type="dxa"/>
          </w:tcPr>
          <w:p w:rsidR="008C2219" w:rsidRPr="00274FB2" w:rsidRDefault="008C2219" w:rsidP="00274FB2">
            <w:pPr>
              <w:pStyle w:val="Table"/>
            </w:pPr>
            <w:r w:rsidRPr="00274FB2">
              <w:t>тыс.</w:t>
            </w:r>
            <w:r w:rsidR="00BE71A6" w:rsidRPr="00274FB2">
              <w:t xml:space="preserve"> </w:t>
            </w:r>
            <w:r w:rsidRPr="00274FB2">
              <w:t>руб.</w:t>
            </w:r>
          </w:p>
        </w:tc>
        <w:tc>
          <w:tcPr>
            <w:tcW w:w="108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  <w:tc>
          <w:tcPr>
            <w:tcW w:w="1260" w:type="dxa"/>
            <w:vAlign w:val="center"/>
          </w:tcPr>
          <w:p w:rsidR="008C2219" w:rsidRPr="00274FB2" w:rsidRDefault="008C2219" w:rsidP="00274FB2">
            <w:pPr>
              <w:pStyle w:val="Table"/>
            </w:pPr>
          </w:p>
        </w:tc>
      </w:tr>
    </w:tbl>
    <w:p w:rsidR="00A5058F" w:rsidRPr="00274FB2" w:rsidRDefault="00A5058F" w:rsidP="00274FB2">
      <w:pPr>
        <w:sectPr w:rsidR="00A5058F" w:rsidRPr="00274FB2" w:rsidSect="00274FB2">
          <w:headerReference w:type="even" r:id="rId11"/>
          <w:headerReference w:type="default" r:id="rId12"/>
          <w:footerReference w:type="even" r:id="rId13"/>
          <w:footerReference w:type="default" r:id="rId14"/>
          <w:type w:val="nextPage"/>
          <w:pgSz w:w="11906" w:h="16838"/>
          <w:pgMar w:top="1418" w:right="1418" w:bottom="851" w:left="1134" w:header="709" w:footer="709" w:gutter="0"/>
          <w:cols w:space="708"/>
          <w:docGrid w:linePitch="360"/>
        </w:sectPr>
      </w:pPr>
    </w:p>
    <w:p w:rsidR="009A23DD" w:rsidRPr="00274FB2" w:rsidRDefault="009A23DD" w:rsidP="00274FB2">
      <w:r w:rsidRPr="00274FB2">
        <w:lastRenderedPageBreak/>
        <w:t>Краткие пояснения</w:t>
      </w:r>
    </w:p>
    <w:p w:rsidR="009A23DD" w:rsidRPr="00274FB2" w:rsidRDefault="009A23DD" w:rsidP="00274FB2">
      <w:r w:rsidRPr="00274FB2">
        <w:t>по заполнению отдельных показателей</w:t>
      </w:r>
    </w:p>
    <w:p w:rsidR="009A23DD" w:rsidRPr="00274FB2" w:rsidRDefault="009A23DD" w:rsidP="00274FB2">
      <w:r w:rsidRPr="00274FB2">
        <w:t>для оценки эффективности социально-экономического развития муниципальных образований Кемеровской области</w:t>
      </w:r>
    </w:p>
    <w:p w:rsidR="009A23DD" w:rsidRPr="00274FB2" w:rsidRDefault="009A23DD" w:rsidP="00274FB2"/>
    <w:p w:rsidR="009A23DD" w:rsidRPr="00274FB2" w:rsidRDefault="009A23DD" w:rsidP="00274FB2">
      <w:r w:rsidRPr="00274FB2">
        <w:t>Показатель 17:</w:t>
      </w:r>
    </w:p>
    <w:p w:rsidR="009A23DD" w:rsidRPr="00274FB2" w:rsidRDefault="009A23DD" w:rsidP="00274FB2">
      <w:r w:rsidRPr="00274FB2">
        <w:t>Отношение среднемесячной номинальной начисленной заработной</w:t>
      </w:r>
    </w:p>
    <w:p w:rsidR="009A23DD" w:rsidRPr="00274FB2" w:rsidRDefault="009A23DD" w:rsidP="00274FB2">
      <w:r w:rsidRPr="00274FB2">
        <w:t>платы работников муниципальных:</w:t>
      </w:r>
    </w:p>
    <w:p w:rsidR="009A23DD" w:rsidRPr="00274FB2" w:rsidRDefault="009A23DD" w:rsidP="00274FB2">
      <w:r w:rsidRPr="00274FB2">
        <w:t>учреждений здравоохранения;</w:t>
      </w:r>
    </w:p>
    <w:p w:rsidR="009A23DD" w:rsidRPr="00274FB2" w:rsidRDefault="009A23DD" w:rsidP="00274FB2">
      <w:r w:rsidRPr="00274FB2">
        <w:t>учреждений образования;</w:t>
      </w:r>
    </w:p>
    <w:p w:rsidR="009A23DD" w:rsidRPr="00274FB2" w:rsidRDefault="009A23DD" w:rsidP="00274FB2">
      <w:r w:rsidRPr="00274FB2">
        <w:t>учреждений социальной защиты населения;</w:t>
      </w:r>
    </w:p>
    <w:p w:rsidR="009A23DD" w:rsidRPr="00274FB2" w:rsidRDefault="009A23DD" w:rsidP="00274FB2">
      <w:r w:rsidRPr="00274FB2">
        <w:t>учреждений физической культуры и спорта;</w:t>
      </w:r>
    </w:p>
    <w:p w:rsidR="009A23DD" w:rsidRPr="00274FB2" w:rsidRDefault="009A23DD" w:rsidP="00274FB2">
      <w:r w:rsidRPr="00274FB2">
        <w:t>учреждений культуры и искусства</w:t>
      </w:r>
    </w:p>
    <w:p w:rsidR="009A23DD" w:rsidRPr="00274FB2" w:rsidRDefault="009A23DD" w:rsidP="00274FB2">
      <w:r w:rsidRPr="00274FB2">
        <w:t>к</w:t>
      </w:r>
      <w:r w:rsidR="00BE71A6" w:rsidRPr="00274FB2">
        <w:t xml:space="preserve"> </w:t>
      </w:r>
      <w:r w:rsidRPr="00274FB2">
        <w:t>среднемесячной</w:t>
      </w:r>
      <w:r w:rsidR="00BE71A6" w:rsidRPr="00274FB2">
        <w:t xml:space="preserve"> </w:t>
      </w:r>
      <w:r w:rsidRPr="00274FB2">
        <w:t>заработной</w:t>
      </w:r>
      <w:r w:rsidR="00BE71A6" w:rsidRPr="00274FB2">
        <w:t xml:space="preserve"> </w:t>
      </w:r>
      <w:r w:rsidRPr="00274FB2">
        <w:t>плате</w:t>
      </w:r>
      <w:r w:rsidR="00BE71A6" w:rsidRPr="00274FB2">
        <w:t xml:space="preserve"> </w:t>
      </w:r>
      <w:r w:rsidRPr="00274FB2">
        <w:t>работников,</w:t>
      </w:r>
      <w:r w:rsidR="00BE71A6" w:rsidRPr="00274FB2">
        <w:t xml:space="preserve"> </w:t>
      </w:r>
      <w:r w:rsidRPr="00274FB2">
        <w:t>занятых</w:t>
      </w:r>
      <w:r w:rsidR="00BE71A6" w:rsidRPr="00274FB2">
        <w:t xml:space="preserve"> </w:t>
      </w:r>
      <w:r w:rsidRPr="00274FB2">
        <w:t>в</w:t>
      </w:r>
      <w:r w:rsidR="00BE71A6" w:rsidRPr="00274FB2">
        <w:t xml:space="preserve"> </w:t>
      </w:r>
      <w:r w:rsidRPr="00274FB2">
        <w:t>сфере экономики региона</w:t>
      </w:r>
    </w:p>
    <w:p w:rsidR="009A23DD" w:rsidRPr="00274FB2" w:rsidRDefault="009A23DD" w:rsidP="00274FB2"/>
    <w:p w:rsidR="009A23DD" w:rsidRPr="00274FB2" w:rsidRDefault="009A23DD" w:rsidP="00274FB2">
      <w:r w:rsidRPr="00274FB2">
        <w:t>Показатель формируется как отношение среднемесячной номинальной начисленной заработной платы работников определенной бюджетной сферы (в области здравоохранения - ОКВЭД 85.1, образования - ОКВЭД 80, представления социальных услуг - ОКВЭД 85.3, спорта - ОКВЭД 92.6, физкультурно-оздоровительной деятельности - ОКВЭД 93,04, организации отдыха, развлечений и культуры - ОКВЭД 92 без 92.6) к среднемесячной номинальной начисленной заработной плате в целом по муниципальному образованию.</w:t>
      </w:r>
    </w:p>
    <w:p w:rsidR="009A23DD" w:rsidRPr="00274FB2" w:rsidRDefault="009A23DD" w:rsidP="00274FB2">
      <w:r w:rsidRPr="00274FB2">
        <w:t>В расчете участвуют бюджетные учреждения муниципальных образований, не участвуют частные учреждения.</w:t>
      </w:r>
    </w:p>
    <w:p w:rsidR="009A23DD" w:rsidRPr="00274FB2" w:rsidRDefault="009A23DD" w:rsidP="00274FB2"/>
    <w:p w:rsidR="009A23DD" w:rsidRPr="00274FB2" w:rsidRDefault="009A23DD" w:rsidP="00274FB2">
      <w:r w:rsidRPr="00274FB2">
        <w:t>Показатель 16:</w:t>
      </w:r>
    </w:p>
    <w:p w:rsidR="009A23DD" w:rsidRPr="00274FB2" w:rsidRDefault="009A23DD" w:rsidP="00274FB2">
      <w:r w:rsidRPr="00274FB2">
        <w:t>Индекс превышения среднедушевого оборота розничной торговли и объема платных услуг в муниципальном образовании относительно величины прожиточного минимума трудоспособного населения в Кемеровской области</w:t>
      </w:r>
    </w:p>
    <w:p w:rsidR="009A23DD" w:rsidRPr="00274FB2" w:rsidRDefault="009A23DD" w:rsidP="00274FB2"/>
    <w:p w:rsidR="009A23DD" w:rsidRPr="00274FB2" w:rsidRDefault="009A23DD" w:rsidP="00274FB2">
      <w:r w:rsidRPr="00274FB2">
        <w:t>Величина прожиточного минимума трудоспособного населения в Кемеровской области:</w:t>
      </w:r>
    </w:p>
    <w:p w:rsidR="009A23DD" w:rsidRPr="00274FB2" w:rsidRDefault="009A23DD" w:rsidP="00274FB2">
      <w:smartTag w:uri="urn:schemas-microsoft-com:office:smarttags" w:element="metricconverter">
        <w:smartTagPr>
          <w:attr w:name="ProductID" w:val="2005 г"/>
        </w:smartTagPr>
        <w:r w:rsidRPr="00274FB2">
          <w:t>2005 г</w:t>
        </w:r>
      </w:smartTag>
      <w:r w:rsidRPr="00274FB2">
        <w:t>. - 2838 руб.;</w:t>
      </w:r>
    </w:p>
    <w:p w:rsidR="009A23DD" w:rsidRPr="00274FB2" w:rsidRDefault="009A23DD" w:rsidP="00274FB2">
      <w:smartTag w:uri="urn:schemas-microsoft-com:office:smarttags" w:element="metricconverter">
        <w:smartTagPr>
          <w:attr w:name="ProductID" w:val="2006 г"/>
        </w:smartTagPr>
        <w:r w:rsidRPr="00274FB2">
          <w:t>2006 г</w:t>
        </w:r>
      </w:smartTag>
      <w:r w:rsidRPr="00274FB2">
        <w:t>.-3178 руб.;</w:t>
      </w:r>
    </w:p>
    <w:p w:rsidR="009A23DD" w:rsidRPr="00274FB2" w:rsidRDefault="009A23DD" w:rsidP="00274FB2">
      <w:smartTag w:uri="urn:schemas-microsoft-com:office:smarttags" w:element="metricconverter">
        <w:smartTagPr>
          <w:attr w:name="ProductID" w:val="2007 г"/>
        </w:smartTagPr>
        <w:r w:rsidRPr="00274FB2">
          <w:t>2007 г</w:t>
        </w:r>
      </w:smartTag>
      <w:r w:rsidRPr="00274FB2">
        <w:t>. - 3665 руб.; 2008г.-4109руб.;</w:t>
      </w:r>
    </w:p>
    <w:p w:rsidR="009A23DD" w:rsidRPr="00274FB2" w:rsidRDefault="009A23DD" w:rsidP="00274FB2">
      <w:smartTag w:uri="urn:schemas-microsoft-com:office:smarttags" w:element="metricconverter">
        <w:smartTagPr>
          <w:attr w:name="ProductID" w:val="2009 г"/>
        </w:smartTagPr>
        <w:r w:rsidRPr="00274FB2">
          <w:t>2009 г</w:t>
        </w:r>
      </w:smartTag>
      <w:r w:rsidRPr="00274FB2">
        <w:t>.-4597 руб.;</w:t>
      </w:r>
    </w:p>
    <w:p w:rsidR="009A23DD" w:rsidRPr="00274FB2" w:rsidRDefault="009A23DD" w:rsidP="00274FB2">
      <w:smartTag w:uri="urn:schemas-microsoft-com:office:smarttags" w:element="metricconverter">
        <w:smartTagPr>
          <w:attr w:name="ProductID" w:val="2010 г"/>
        </w:smartTagPr>
        <w:r w:rsidRPr="00274FB2">
          <w:t>2010 г</w:t>
        </w:r>
      </w:smartTag>
      <w:r w:rsidRPr="00274FB2">
        <w:t>.-5143 руб.</w:t>
      </w:r>
    </w:p>
    <w:p w:rsidR="009A23DD" w:rsidRPr="00274FB2" w:rsidRDefault="009A23DD" w:rsidP="00274FB2"/>
    <w:p w:rsidR="009A23DD" w:rsidRPr="00274FB2" w:rsidRDefault="009A23DD" w:rsidP="00274FB2">
      <w:r w:rsidRPr="00274FB2">
        <w:t>Оборот розничной торговли и объем платных услуг берется в среднем за месяц конкретного года.</w:t>
      </w:r>
    </w:p>
    <w:p w:rsidR="004D1B75" w:rsidRPr="00274FB2" w:rsidRDefault="004D1B75" w:rsidP="00274FB2"/>
    <w:p w:rsidR="004D1B75" w:rsidRPr="00274FB2" w:rsidRDefault="004D1B75" w:rsidP="00274FB2">
      <w:r w:rsidRPr="00274FB2">
        <w:t>Показатель 26:</w:t>
      </w:r>
    </w:p>
    <w:p w:rsidR="004D1B75" w:rsidRPr="00274FB2" w:rsidRDefault="004D1B75" w:rsidP="00274FB2">
      <w:r w:rsidRPr="00274FB2">
        <w:t>Средняя продолжительность временной нетрудоспособности в связи с заболеванием в расчете на одного работающего</w:t>
      </w:r>
    </w:p>
    <w:p w:rsidR="004D1B75" w:rsidRPr="00274FB2" w:rsidRDefault="004D1B75" w:rsidP="00274FB2">
      <w:r w:rsidRPr="00274FB2">
        <w:t>Показатель рассчитывается на случай временной нетрудоспособности по заболеваниям по оплаченным календарным дням.</w:t>
      </w:r>
    </w:p>
    <w:p w:rsidR="004D1B75" w:rsidRPr="00274FB2" w:rsidRDefault="004D1B75" w:rsidP="00274FB2"/>
    <w:p w:rsidR="004D1B75" w:rsidRPr="00274FB2" w:rsidRDefault="004D1B75" w:rsidP="00274FB2">
      <w:r w:rsidRPr="00274FB2">
        <w:t>Показатель 24:</w:t>
      </w:r>
    </w:p>
    <w:p w:rsidR="004D1B75" w:rsidRPr="00274FB2" w:rsidRDefault="004D1B75" w:rsidP="00274FB2">
      <w:r w:rsidRPr="00274FB2">
        <w:t>Удельный вес детей первой и второй групп здоровья в общей численности учащихся муниципальных общеобразовательных учреждений</w:t>
      </w:r>
    </w:p>
    <w:p w:rsidR="004D1B75" w:rsidRPr="00274FB2" w:rsidRDefault="004D1B75" w:rsidP="00274FB2">
      <w:r w:rsidRPr="00274FB2">
        <w:lastRenderedPageBreak/>
        <w:t>В расчете учитываются учащиеся всех общеобразовательных учреждений, расположенных в городском округе (муниципальном районе), имеющие государственную аккредитацию, включая частные. Не учитываются учащиеся специальных учебно-воспитательных учреждений закрытого типа для детей и подростков с девиантным (общественно опасным) поведением, а также учреждений, исполняющих наказание в виде лишения свободы.</w:t>
      </w:r>
    </w:p>
    <w:p w:rsidR="004D1B75" w:rsidRPr="00274FB2" w:rsidRDefault="004D1B75" w:rsidP="00274FB2"/>
    <w:p w:rsidR="004D1B75" w:rsidRPr="00274FB2" w:rsidRDefault="004D1B75" w:rsidP="00274FB2">
      <w:r w:rsidRPr="00274FB2">
        <w:t>Показатель 38:</w:t>
      </w:r>
    </w:p>
    <w:p w:rsidR="004D1B75" w:rsidRPr="00274FB2" w:rsidRDefault="004D1B75" w:rsidP="00274FB2">
      <w:r w:rsidRPr="00274FB2">
        <w:t>Удельный вес лиц, участвовавших в едином государственном экзамене, от общей численности выпускников</w:t>
      </w:r>
    </w:p>
    <w:p w:rsidR="004D1B75" w:rsidRPr="00274FB2" w:rsidRDefault="004D1B75" w:rsidP="00274FB2">
      <w:r w:rsidRPr="00274FB2">
        <w:t>В расчете учитываются выпускники всех общеобразовательных учреждений, расположенных в городском округе (муниципальном районе), имеющие государственную аккредитацию. Не учитываются выпускники специальных учебно-воспитательных учреждений закрытого типа для детей и подростков с девиантным (общественно опасным) поведением, а также учреждений, исполняющих наказание в виде лишения свободы, специальных (коррекционных) образовательных учреждений.</w:t>
      </w:r>
    </w:p>
    <w:p w:rsidR="004D1B75" w:rsidRPr="00274FB2" w:rsidRDefault="004D1B75" w:rsidP="00274FB2"/>
    <w:p w:rsidR="004D1B75" w:rsidRPr="00274FB2" w:rsidRDefault="004D1B75" w:rsidP="00274FB2">
      <w:r w:rsidRPr="00274FB2">
        <w:t>Показатель 40:</w:t>
      </w:r>
    </w:p>
    <w:p w:rsidR="004D1B75" w:rsidRPr="00274FB2" w:rsidRDefault="004D1B75" w:rsidP="00274FB2">
      <w:r w:rsidRPr="00274FB2">
        <w:t>Среднемесячная</w:t>
      </w:r>
      <w:r w:rsidR="00BE71A6" w:rsidRPr="00274FB2">
        <w:t xml:space="preserve"> </w:t>
      </w:r>
      <w:r w:rsidRPr="00274FB2">
        <w:t>номинальная</w:t>
      </w:r>
      <w:r w:rsidR="00BE71A6" w:rsidRPr="00274FB2">
        <w:t xml:space="preserve"> </w:t>
      </w:r>
      <w:r w:rsidRPr="00274FB2">
        <w:t>начисленная</w:t>
      </w:r>
      <w:r w:rsidR="00BE71A6" w:rsidRPr="00274FB2">
        <w:t xml:space="preserve"> </w:t>
      </w:r>
      <w:r w:rsidRPr="00274FB2">
        <w:t>заработная</w:t>
      </w:r>
      <w:r w:rsidR="00BE71A6" w:rsidRPr="00274FB2">
        <w:t xml:space="preserve"> </w:t>
      </w:r>
      <w:r w:rsidRPr="00274FB2">
        <w:t>плата</w:t>
      </w:r>
    </w:p>
    <w:p w:rsidR="004D1B75" w:rsidRPr="00274FB2" w:rsidRDefault="004D1B75" w:rsidP="00274FB2">
      <w:r w:rsidRPr="00274FB2">
        <w:t>работников муниципальных общеобразовательных учреждений -</w:t>
      </w:r>
    </w:p>
    <w:p w:rsidR="004D1B75" w:rsidRPr="00274FB2" w:rsidRDefault="004D1B75" w:rsidP="00274FB2">
      <w:r w:rsidRPr="00274FB2">
        <w:t>всего, в том числе:</w:t>
      </w:r>
    </w:p>
    <w:p w:rsidR="004D1B75" w:rsidRPr="00274FB2" w:rsidRDefault="004D1B75" w:rsidP="00274FB2">
      <w:r w:rsidRPr="00274FB2">
        <w:t>учителей;</w:t>
      </w:r>
    </w:p>
    <w:p w:rsidR="004D1B75" w:rsidRPr="00274FB2" w:rsidRDefault="004D1B75" w:rsidP="00274FB2">
      <w:r w:rsidRPr="00274FB2">
        <w:t>прочих работающих в общеобразовательных учреждениях (административно-управленческого,</w:t>
      </w:r>
      <w:r w:rsidR="00BE71A6" w:rsidRPr="00274FB2">
        <w:t xml:space="preserve"> </w:t>
      </w:r>
      <w:r w:rsidRPr="00274FB2">
        <w:t>учебно-вспомогательного,</w:t>
      </w:r>
    </w:p>
    <w:p w:rsidR="004D1B75" w:rsidRPr="00274FB2" w:rsidRDefault="004D1B75" w:rsidP="00274FB2">
      <w:r w:rsidRPr="00274FB2">
        <w:t>младшего обслуживающего персонала, а также педагогических работников, не осуществляющих учебный процесс)</w:t>
      </w:r>
    </w:p>
    <w:p w:rsidR="004D1B75" w:rsidRPr="00274FB2" w:rsidRDefault="004D1B75" w:rsidP="00274FB2"/>
    <w:p w:rsidR="004D1B75" w:rsidRPr="00274FB2" w:rsidRDefault="004D1B75" w:rsidP="00274FB2">
      <w:r w:rsidRPr="00274FB2">
        <w:t>В расчете используется величина среднемесячной номинальной начисленной заработной платы работников общеобразовательных</w:t>
      </w:r>
    </w:p>
    <w:p w:rsidR="00027F77" w:rsidRPr="00274FB2" w:rsidRDefault="00027F77" w:rsidP="00274FB2"/>
    <w:p w:rsidR="00B836DC" w:rsidRPr="00274FB2" w:rsidRDefault="00B836DC" w:rsidP="00274FB2">
      <w:r w:rsidRPr="00274FB2">
        <w:t>учреждений муниципальных образований, при этом не учитывается величина среднемесячной номинальной начисленной заработной платы работников частных общеобразовательных учреждений.</w:t>
      </w:r>
    </w:p>
    <w:p w:rsidR="00B836DC" w:rsidRPr="00274FB2" w:rsidRDefault="00B836DC" w:rsidP="00274FB2">
      <w:r w:rsidRPr="00274FB2">
        <w:t>Среднемесячная номинальная начисленная заработная плата прочих работающих представляется в среднем без разбивки по категориям работающих.</w:t>
      </w:r>
    </w:p>
    <w:p w:rsidR="004B32E6" w:rsidRPr="00274FB2" w:rsidRDefault="004B32E6" w:rsidP="00274FB2"/>
    <w:p w:rsidR="00B836DC" w:rsidRPr="00274FB2" w:rsidRDefault="00B836DC" w:rsidP="00274FB2">
      <w:r w:rsidRPr="00274FB2">
        <w:t>Показатель 41:</w:t>
      </w:r>
    </w:p>
    <w:p w:rsidR="00B836DC" w:rsidRPr="00274FB2" w:rsidRDefault="00B836DC" w:rsidP="00274FB2">
      <w:r w:rsidRPr="00274FB2">
        <w:t>Доля детей, оставшихся без попечения родителей, - всего, в том</w:t>
      </w:r>
    </w:p>
    <w:p w:rsidR="00B836DC" w:rsidRPr="00274FB2" w:rsidRDefault="00B836DC" w:rsidP="00274FB2">
      <w:r w:rsidRPr="00274FB2">
        <w:t>числе:</w:t>
      </w:r>
    </w:p>
    <w:p w:rsidR="00B836DC" w:rsidRPr="00274FB2" w:rsidRDefault="00B836DC" w:rsidP="00274FB2">
      <w:r w:rsidRPr="00274FB2">
        <w:t>переданных неродственникам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патронатныс семьи);</w:t>
      </w:r>
    </w:p>
    <w:p w:rsidR="00B836DC" w:rsidRPr="00274FB2" w:rsidRDefault="00B836DC" w:rsidP="00274FB2">
      <w:r w:rsidRPr="00274FB2">
        <w:t>находящихся в государственных (муниципальных) учреждениях всех типов</w:t>
      </w:r>
    </w:p>
    <w:p w:rsidR="00B836DC" w:rsidRPr="00274FB2" w:rsidRDefault="00B836DC" w:rsidP="00274FB2">
      <w:r w:rsidRPr="00274FB2">
        <w:t>В данном случае родственниками считаются: все родственники по прямой восходящей и нисходящей линии (полнородные и неполнородные), а также усыновители (отчим или мачеха).</w:t>
      </w:r>
    </w:p>
    <w:p w:rsidR="004B32E6" w:rsidRPr="00274FB2" w:rsidRDefault="004B32E6" w:rsidP="00274FB2"/>
    <w:p w:rsidR="00B836DC" w:rsidRPr="00274FB2" w:rsidRDefault="00B836DC" w:rsidP="00274FB2">
      <w:r w:rsidRPr="00274FB2">
        <w:t>Показатель 49:</w:t>
      </w:r>
    </w:p>
    <w:p w:rsidR="00B836DC" w:rsidRPr="00274FB2" w:rsidRDefault="00B836DC" w:rsidP="00274FB2">
      <w:r w:rsidRPr="00274FB2">
        <w:t>Удельный</w:t>
      </w:r>
      <w:r w:rsidR="00BE71A6" w:rsidRPr="00274FB2">
        <w:t xml:space="preserve"> </w:t>
      </w:r>
      <w:r w:rsidRPr="00274FB2">
        <w:t>вес</w:t>
      </w:r>
      <w:r w:rsidR="00BE71A6" w:rsidRPr="00274FB2">
        <w:t xml:space="preserve"> </w:t>
      </w:r>
      <w:r w:rsidRPr="00274FB2">
        <w:t>населения,</w:t>
      </w:r>
      <w:r w:rsidR="00BE71A6" w:rsidRPr="00274FB2">
        <w:t xml:space="preserve"> </w:t>
      </w:r>
      <w:r w:rsidRPr="00274FB2">
        <w:t>систематически</w:t>
      </w:r>
      <w:r w:rsidR="00BE71A6" w:rsidRPr="00274FB2">
        <w:t xml:space="preserve"> </w:t>
      </w:r>
      <w:r w:rsidRPr="00274FB2">
        <w:t>занимающегося физической культурой и спортом</w:t>
      </w:r>
    </w:p>
    <w:p w:rsidR="00B836DC" w:rsidRPr="00274FB2" w:rsidRDefault="00B836DC" w:rsidP="00274FB2">
      <w:r w:rsidRPr="00274FB2">
        <w:lastRenderedPageBreak/>
        <w:t>При расчете показателя учитывается население, занимающееся в спортивных секциях и группах физкультурно-оздоровительной и спортивной направленности различных форм.</w:t>
      </w:r>
    </w:p>
    <w:p w:rsidR="004B32E6" w:rsidRPr="00274FB2" w:rsidRDefault="004B32E6" w:rsidP="00274FB2"/>
    <w:p w:rsidR="00B836DC" w:rsidRPr="00274FB2" w:rsidRDefault="00B836DC" w:rsidP="00274FB2">
      <w:r w:rsidRPr="00274FB2">
        <w:t>Показатель 53:</w:t>
      </w:r>
    </w:p>
    <w:p w:rsidR="00B836DC" w:rsidRPr="00274FB2" w:rsidRDefault="00B836DC" w:rsidP="00274FB2">
      <w:r w:rsidRPr="00274FB2">
        <w:t>Расходы бюджета городского округа (муниципального района) на культуру (физическую культуру и спорт) - всего, в том числе: капитальные расходы; текущие расходы, из них:</w:t>
      </w:r>
    </w:p>
    <w:p w:rsidR="00B836DC" w:rsidRPr="00274FB2" w:rsidRDefault="00B836DC" w:rsidP="00274FB2">
      <w:r w:rsidRPr="00274FB2">
        <w:t>расходы и начисления на оплату труда; на одного жителя</w:t>
      </w:r>
    </w:p>
    <w:p w:rsidR="004B32E6" w:rsidRPr="00274FB2" w:rsidRDefault="004B32E6" w:rsidP="00274FB2"/>
    <w:p w:rsidR="00B836DC" w:rsidRPr="00274FB2" w:rsidRDefault="00B836DC" w:rsidP="00274FB2">
      <w:r w:rsidRPr="00274FB2">
        <w:t>Исходя из общих положений настоящей Инструкции расходы на культуру (физическую культуру и спорт) определяются следующим образом:</w:t>
      </w:r>
    </w:p>
    <w:p w:rsidR="00B836DC" w:rsidRPr="00274FB2" w:rsidRDefault="00B836DC" w:rsidP="00274FB2">
      <w:r w:rsidRPr="00274FB2">
        <w:t>расходы на культуру:</w:t>
      </w:r>
    </w:p>
    <w:p w:rsidR="00B836DC" w:rsidRPr="00274FB2" w:rsidRDefault="00B836DC" w:rsidP="00274FB2">
      <w:r w:rsidRPr="00274FB2">
        <w:t>в части капитальных расходов они определяются как показатель расходов по подразделу 01 «Культура» раздела 08 «Культура, кинематография и средства массовой информации» в привязке к коду экономической классификации 310;</w:t>
      </w:r>
    </w:p>
    <w:p w:rsidR="00062088" w:rsidRPr="00274FB2" w:rsidRDefault="00B836DC" w:rsidP="00274FB2">
      <w:r w:rsidRPr="00274FB2">
        <w:t>в части текущих расходов как показатель расходов по подразделу 01 «Культура» раздела 08 «Культура, кинематография и средства массовой</w:t>
      </w:r>
      <w:r w:rsidR="00274FB2">
        <w:t xml:space="preserve"> </w:t>
      </w:r>
      <w:r w:rsidR="00062088" w:rsidRPr="00274FB2">
        <w:t>информации» в привязке к совокупности кодов экономической классификации, исчисляемых как разница по итоговой строке экономической классификации (код 800) - строкой по статье «Увеличение стоимости основных средств» (код 310) указанных выше подраздела и раздела,</w:t>
      </w:r>
    </w:p>
    <w:p w:rsidR="00062088" w:rsidRPr="00274FB2" w:rsidRDefault="00062088" w:rsidP="00274FB2">
      <w:r w:rsidRPr="00274FB2">
        <w:t>в части расходов на оплату труда и начисления на оплату труда они определяются как показатель расходов по подразделу 01 «Культура» раздела 08 «Культура, кинематография и средства массовой информации» в привязке к коду экономической классификации 210.</w:t>
      </w:r>
    </w:p>
    <w:p w:rsidR="00062088" w:rsidRPr="00274FB2" w:rsidRDefault="00062088" w:rsidP="00274FB2">
      <w:r w:rsidRPr="00274FB2">
        <w:t>Расходы на физическую культуру и спорт определяются аналогичным образом с использованием показателей расходов по подразделу 02 «Спорт и физическая культура» раздела 09 «Здравоохранение и спорт» в 2007 году, начиная с 2008 года по подразделу 08 «Физическая культура и спорт» раздела 09 «Здравоохранение, физическая культура и спорт».</w:t>
      </w:r>
    </w:p>
    <w:p w:rsidR="00062088" w:rsidRPr="00274FB2" w:rsidRDefault="00062088" w:rsidP="00274FB2"/>
    <w:p w:rsidR="00062088" w:rsidRPr="00274FB2" w:rsidRDefault="00062088" w:rsidP="00274FB2">
      <w:r w:rsidRPr="00274FB2">
        <w:t>Показатель 9:</w:t>
      </w:r>
    </w:p>
    <w:p w:rsidR="00062088" w:rsidRPr="00274FB2" w:rsidRDefault="00062088" w:rsidP="00274FB2">
      <w:r w:rsidRPr="00274FB2">
        <w:t>Площадь земельных участков, предоставленных для строительства, - всего, в том числе для жилищного строительства и комплексного освоения в целях жилищного строительства</w:t>
      </w:r>
    </w:p>
    <w:p w:rsidR="00062088" w:rsidRPr="00274FB2" w:rsidRDefault="00062088" w:rsidP="00274FB2"/>
    <w:p w:rsidR="00062088" w:rsidRPr="00274FB2" w:rsidRDefault="00062088" w:rsidP="00274FB2">
      <w:r w:rsidRPr="00274FB2">
        <w:t>Под земельными участками, предоставленными для строительства, понимаются сформированные земельные участки, предоставленные в соответствии с действующим земельным и градостроительным законодательством.</w:t>
      </w:r>
    </w:p>
    <w:p w:rsidR="00062088" w:rsidRPr="00274FB2" w:rsidRDefault="00062088" w:rsidP="00274FB2">
      <w:r w:rsidRPr="00274FB2">
        <w:t xml:space="preserve">Информация не представляется по земельным участкам, находящимся в федеральной собственности, за исключением земельных участков из состава земель сельскохозяйственного назначения, включенных в черту населенных пунктов в порядке, предусмотренном статьей 3.2. Федерального закона </w:t>
      </w:r>
      <w:hyperlink r:id="rId15" w:history="1">
        <w:r w:rsidRPr="0023693E">
          <w:rPr>
            <w:rStyle w:val="ab"/>
          </w:rPr>
          <w:t>«О введении в действие Земельного кодекса Российской Федерации»</w:t>
        </w:r>
      </w:hyperlink>
      <w:r w:rsidRPr="00274FB2">
        <w:t>.</w:t>
      </w:r>
    </w:p>
    <w:p w:rsidR="00062088" w:rsidRPr="00274FB2" w:rsidRDefault="00062088" w:rsidP="00274FB2"/>
    <w:p w:rsidR="00062088" w:rsidRPr="00274FB2" w:rsidRDefault="00062088" w:rsidP="00274FB2">
      <w:r w:rsidRPr="00274FB2">
        <w:t>Показатель 62:</w:t>
      </w:r>
    </w:p>
    <w:p w:rsidR="00062088" w:rsidRPr="00274FB2" w:rsidRDefault="00062088" w:rsidP="00274FB2">
      <w:r w:rsidRPr="00274FB2">
        <w:t>Доля населения, проживающего в многоквартирных домах, признанных в установленном порядке аварийными</w:t>
      </w:r>
    </w:p>
    <w:p w:rsidR="00062088" w:rsidRPr="00274FB2" w:rsidRDefault="00062088" w:rsidP="00274FB2"/>
    <w:p w:rsidR="00062088" w:rsidRPr="00274FB2" w:rsidRDefault="00062088" w:rsidP="00274FB2">
      <w:r w:rsidRPr="00274FB2">
        <w:lastRenderedPageBreak/>
        <w:t xml:space="preserve">Признание многоквартирного дома аварийным и подлежащим сносу осуществляется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сносу, утвержденным постановлением Правительства Российской Федерации от 28 января </w:t>
      </w:r>
      <w:smartTag w:uri="urn:schemas-microsoft-com:office:smarttags" w:element="metricconverter">
        <w:smartTagPr>
          <w:attr w:name="ProductID" w:val="2006 г"/>
        </w:smartTagPr>
        <w:r w:rsidRPr="00274FB2">
          <w:t>2006 г</w:t>
        </w:r>
      </w:smartTag>
      <w:r w:rsidRPr="00274FB2">
        <w:t>. №47.</w:t>
      </w:r>
    </w:p>
    <w:p w:rsidR="00062088" w:rsidRPr="00274FB2" w:rsidRDefault="00062088" w:rsidP="00274FB2"/>
    <w:p w:rsidR="00E0728C" w:rsidRPr="00274FB2" w:rsidRDefault="00E0728C" w:rsidP="00274FB2">
      <w:r w:rsidRPr="00274FB2">
        <w:t>Показатель 54:</w:t>
      </w:r>
    </w:p>
    <w:p w:rsidR="00E0728C" w:rsidRPr="00274FB2" w:rsidRDefault="00E0728C" w:rsidP="00274FB2">
      <w:r w:rsidRPr="00274FB2">
        <w:t>Доля многоквартирных домов городского округа (муниципального района), в которых собственники помещений выбрали и реализуют способ управления многоквартирными домами, в том числе:</w:t>
      </w:r>
    </w:p>
    <w:p w:rsidR="00E0728C" w:rsidRPr="00274FB2" w:rsidRDefault="00E0728C" w:rsidP="00274FB2">
      <w:r w:rsidRPr="00274FB2">
        <w:t>непосредственное управление собственниками помещений в многоквартирном доме;</w:t>
      </w:r>
    </w:p>
    <w:p w:rsidR="00E0728C" w:rsidRPr="00274FB2" w:rsidRDefault="00E0728C" w:rsidP="00274FB2">
      <w:r w:rsidRPr="00274FB2">
        <w:t>управление товариществом собственников жилья либо жилищным кооперативом или иным специализированным потребительским кооперативом;</w:t>
      </w:r>
    </w:p>
    <w:p w:rsidR="00E0728C" w:rsidRPr="00274FB2" w:rsidRDefault="00E0728C" w:rsidP="00274FB2">
      <w:r w:rsidRPr="00274FB2">
        <w:t>управление управляющей организацией, в том числе муниципальной формы собственности (из них в форме муниципальных учреждений), государственной формы собственности (из них в форме государственных учреждений), частной формы собственности (из них хозяйственными обществами со 100-процентной долей, находящейся в муниципальной или государственной собственности)</w:t>
      </w:r>
    </w:p>
    <w:p w:rsidR="00E0728C" w:rsidRPr="00274FB2" w:rsidRDefault="00E0728C" w:rsidP="00274FB2">
      <w:r w:rsidRPr="00274FB2">
        <w:t>Показатель рассчитывается как отношение количества многоквартирных домов городского округа (муниципального района), в которых собственники помещений выбрали и реализуют один из указанных способов управления к общему числу многоквартирных домов в субъекте Российской Федерации, собственники помещений которых могут самостоятельно выбрать способ управления.</w:t>
      </w:r>
    </w:p>
    <w:p w:rsidR="00E0728C" w:rsidRPr="00274FB2" w:rsidRDefault="00E0728C" w:rsidP="00274FB2"/>
    <w:p w:rsidR="00E0728C" w:rsidRPr="00274FB2" w:rsidRDefault="00E0728C" w:rsidP="00274FB2">
      <w:r w:rsidRPr="00274FB2">
        <w:t>Показатель 55:</w:t>
      </w:r>
    </w:p>
    <w:p w:rsidR="00E0728C" w:rsidRPr="00274FB2" w:rsidRDefault="00E0728C" w:rsidP="00274FB2">
      <w:r w:rsidRPr="00274FB2">
        <w:t>Доля муниципального имущества коммунального хозяйства (канализация, электрические и тепловые сети и так далее), переданного в управление, аренду, концессию и на иных правовых основаниях организациям частной формы собственности (из них хозяйственным обществам с долей не более 25%, находящейся в муниципальной собственности) в общем объеме муниципального имущества коммунального хозяйства</w:t>
      </w:r>
    </w:p>
    <w:p w:rsidR="00E0728C" w:rsidRPr="00274FB2" w:rsidRDefault="00E0728C" w:rsidP="00274FB2">
      <w:r w:rsidRPr="00274FB2">
        <w:t>Оценка стоимости муниципального имущества, как переданного, так и не переданного организациям частной формы собственности, производится по данным бухгалтерской отчетности организаций коммунального комплекса,</w:t>
      </w:r>
      <w:r w:rsidR="00BE71A6" w:rsidRPr="00274FB2">
        <w:t xml:space="preserve"> </w:t>
      </w:r>
      <w:r w:rsidRPr="00274FB2">
        <w:t>осуществляющих</w:t>
      </w:r>
      <w:r w:rsidR="00BE71A6" w:rsidRPr="00274FB2">
        <w:t xml:space="preserve"> </w:t>
      </w:r>
      <w:r w:rsidRPr="00274FB2">
        <w:t>водоснабжение,</w:t>
      </w:r>
      <w:r w:rsidR="00BE71A6" w:rsidRPr="00274FB2">
        <w:t xml:space="preserve"> </w:t>
      </w:r>
      <w:r w:rsidRPr="00274FB2">
        <w:t>водоотведение, электроснабжение, газоснабжение, теплоснабжение.</w:t>
      </w:r>
    </w:p>
    <w:p w:rsidR="00622DD1" w:rsidRPr="00274FB2" w:rsidRDefault="00622DD1" w:rsidP="00274FB2"/>
    <w:p w:rsidR="00622DD1" w:rsidRPr="00274FB2" w:rsidRDefault="00622DD1" w:rsidP="00274FB2">
      <w:r w:rsidRPr="00274FB2">
        <w:t>Показатель 12:</w:t>
      </w:r>
    </w:p>
    <w:p w:rsidR="00622DD1" w:rsidRPr="00274FB2" w:rsidRDefault="00622DD1" w:rsidP="00274FB2">
      <w:r w:rsidRPr="00274FB2">
        <w:t>Время от подачи заявки на предоставление земельного участка для строительства до получения разрешения на строительство</w:t>
      </w:r>
    </w:p>
    <w:p w:rsidR="00622DD1" w:rsidRPr="00274FB2" w:rsidRDefault="00622DD1" w:rsidP="00274FB2">
      <w:r w:rsidRPr="00274FB2">
        <w:t>Показатель рассчитывается отдельно для трех видов строительства: жилищное строительство; комплексное освоение в целях жилищного строительства; строительство иных объектов, не являющихся объектами жилищного строительства. При этом отражаются следующие временные интервалы:</w:t>
      </w:r>
    </w:p>
    <w:p w:rsidR="00622DD1" w:rsidRPr="00274FB2" w:rsidRDefault="00622DD1" w:rsidP="00274FB2">
      <w:r w:rsidRPr="00274FB2">
        <w:t>для жилищного строительства -</w:t>
      </w:r>
    </w:p>
    <w:p w:rsidR="00622DD1" w:rsidRPr="00274FB2" w:rsidRDefault="00622DD1" w:rsidP="00274FB2">
      <w:r w:rsidRPr="00274FB2">
        <w:t>время от даты получения по результатам аукциона прав (собственности или аренды) на земельный участок до даты получения разрешения на строительство;</w:t>
      </w:r>
    </w:p>
    <w:p w:rsidR="00622DD1" w:rsidRPr="00274FB2" w:rsidRDefault="00622DD1" w:rsidP="00274FB2">
      <w:r w:rsidRPr="00274FB2">
        <w:t>для комплексного освоения в целях жилищного строительства -</w:t>
      </w:r>
    </w:p>
    <w:p w:rsidR="00622DD1" w:rsidRPr="00274FB2" w:rsidRDefault="00622DD1" w:rsidP="00274FB2">
      <w:r w:rsidRPr="00274FB2">
        <w:lastRenderedPageBreak/>
        <w:t>время от даты получения на аукционе прав аренды земельного участка для комплексного освоения в целях жилищного строительства до дня получения разрешения на строительство первого объекта жилищного строительства;</w:t>
      </w:r>
    </w:p>
    <w:p w:rsidR="00622DD1" w:rsidRPr="00274FB2" w:rsidRDefault="00622DD1" w:rsidP="00274FB2">
      <w:r w:rsidRPr="00274FB2">
        <w:t>для строительства объектов, не являющихся объектами жилищного строительства -</w:t>
      </w:r>
    </w:p>
    <w:p w:rsidR="00622DD1" w:rsidRPr="00274FB2" w:rsidRDefault="00622DD1" w:rsidP="00274FB2">
      <w:r w:rsidRPr="00274FB2">
        <w:t>время от даты принятия заявления о выборе земельного участка и предварительном согласовании места размещения объекта до получения разрешения на строительство - в случаях, когда земельный участок предоставляется по процедуре предварительного согласования мест размещения объектов;</w:t>
      </w:r>
    </w:p>
    <w:p w:rsidR="00622DD1" w:rsidRPr="00274FB2" w:rsidRDefault="00622DD1" w:rsidP="00274FB2">
      <w:r w:rsidRPr="00274FB2">
        <w:t>время от даты получения прав (собственности или аренды) на земельный участок по результатам торгов (конкурса или аукциона) до даты получения разрешения на строительство.</w:t>
      </w:r>
    </w:p>
    <w:p w:rsidR="00622DD1" w:rsidRPr="00274FB2" w:rsidRDefault="00622DD1" w:rsidP="00274FB2"/>
    <w:p w:rsidR="00622DD1" w:rsidRPr="00274FB2" w:rsidRDefault="00622DD1" w:rsidP="00274FB2">
      <w:r w:rsidRPr="00274FB2">
        <w:t>Показатель 13:</w:t>
      </w:r>
    </w:p>
    <w:p w:rsidR="00622DD1" w:rsidRPr="00274FB2" w:rsidRDefault="00622DD1" w:rsidP="00274FB2">
      <w:r w:rsidRPr="00274FB2">
        <w:t>Заявленная мощность, которая не была удовлетворена в связи с отсутствием технической возможности технологического присоединения к объектам электросетевого хозяйства</w:t>
      </w:r>
    </w:p>
    <w:p w:rsidR="00622DD1" w:rsidRPr="00274FB2" w:rsidRDefault="00622DD1" w:rsidP="00274FB2">
      <w:r w:rsidRPr="00274FB2">
        <w:t>Критериями отсутствия технической возможности технологического присоединения являются:</w:t>
      </w:r>
    </w:p>
    <w:p w:rsidR="00622DD1" w:rsidRPr="00274FB2" w:rsidRDefault="00622DD1" w:rsidP="00274FB2">
      <w:r w:rsidRPr="00274FB2">
        <w:t>отсутствие возможности сохранения условий электроснабжения (установленной категории надежности электроснабжения и сохранения качества электроэнергии) для прочих потребителей, энергопринимающие установки которых на момент подачи заявки заявителя не присоединены к электрическим сетям сетевой организации или смежных сетевых организаций;</w:t>
      </w:r>
    </w:p>
    <w:p w:rsidR="00622DD1" w:rsidRPr="00274FB2" w:rsidRDefault="00622DD1" w:rsidP="00274FB2">
      <w:r w:rsidRPr="00274FB2">
        <w:t>наличие ограничений на присоединяемую мощность в объектах электросетевого хозяйства, к которым надлежит произвести технологическое присоединение;</w:t>
      </w:r>
    </w:p>
    <w:p w:rsidR="009D6FC1" w:rsidRPr="00274FB2" w:rsidRDefault="009D6FC1" w:rsidP="00274FB2">
      <w:r w:rsidRPr="00274FB2">
        <w:t>наличие необходимости реконструкции или расширения (сооружения новых) объектов электросетевого хозяйства смежных сетевых организаций либо строительства генерирующих объектов для удовлетворения потребности заявителя.</w:t>
      </w:r>
    </w:p>
    <w:p w:rsidR="009D6FC1" w:rsidRPr="00274FB2" w:rsidRDefault="009D6FC1" w:rsidP="00274FB2">
      <w:r w:rsidRPr="00274FB2">
        <w:t>Электросетевое хозяйство - линии электропередач, трансформаторные и иные подстанции, распределительные пункты и иное предназначенное для обеспечения электрических связей и осуществления передачи электрической энергии оборудование.</w:t>
      </w:r>
    </w:p>
    <w:p w:rsidR="009D6FC1" w:rsidRPr="00274FB2" w:rsidRDefault="009D6FC1" w:rsidP="00274FB2">
      <w:r w:rsidRPr="00274FB2">
        <w:t>Технологическое присоединение - осуществляемый сетевой организацией на основании договора с заказчиком комплекс мероприятий по:</w:t>
      </w:r>
    </w:p>
    <w:p w:rsidR="009D6FC1" w:rsidRPr="00274FB2" w:rsidRDefault="009D6FC1" w:rsidP="00274FB2">
      <w:r w:rsidRPr="00274FB2">
        <w:t>подготовке и выдаче технических условий;</w:t>
      </w:r>
    </w:p>
    <w:p w:rsidR="009D6FC1" w:rsidRPr="00274FB2" w:rsidRDefault="009D6FC1" w:rsidP="00274FB2">
      <w:r w:rsidRPr="00274FB2">
        <w:t>выполнению технических условий;</w:t>
      </w:r>
    </w:p>
    <w:p w:rsidR="009D6FC1" w:rsidRPr="00274FB2" w:rsidRDefault="009D6FC1" w:rsidP="00274FB2">
      <w:r w:rsidRPr="00274FB2">
        <w:t>фактическому присоединению энергопринимающего устройства заказчика к электрической сети сетевой организации;</w:t>
      </w:r>
    </w:p>
    <w:p w:rsidR="009D6FC1" w:rsidRPr="00274FB2" w:rsidRDefault="009D6FC1" w:rsidP="00274FB2">
      <w:r w:rsidRPr="00274FB2">
        <w:t>обеспечению работы этого устройства;</w:t>
      </w:r>
    </w:p>
    <w:p w:rsidR="009D6FC1" w:rsidRPr="00274FB2" w:rsidRDefault="009D6FC1" w:rsidP="00274FB2">
      <w:r w:rsidRPr="00274FB2">
        <w:t>проверке выполнения технических условий;</w:t>
      </w:r>
    </w:p>
    <w:p w:rsidR="009D6FC1" w:rsidRPr="00274FB2" w:rsidRDefault="009D6FC1" w:rsidP="00274FB2">
      <w:r w:rsidRPr="00274FB2">
        <w:t>составлению акта о технологическом присоединении;</w:t>
      </w:r>
    </w:p>
    <w:p w:rsidR="009D6FC1" w:rsidRPr="00274FB2" w:rsidRDefault="009D6FC1" w:rsidP="00274FB2">
      <w:r w:rsidRPr="00274FB2">
        <w:t>выдаче разрешения на присоединение мощности.</w:t>
      </w:r>
    </w:p>
    <w:p w:rsidR="009D6FC1" w:rsidRPr="00274FB2" w:rsidRDefault="009D6FC1" w:rsidP="00274FB2"/>
    <w:p w:rsidR="009D6FC1" w:rsidRPr="00274FB2" w:rsidRDefault="009D6FC1" w:rsidP="00274FB2">
      <w:r w:rsidRPr="00274FB2">
        <w:t>Показатель 11:</w:t>
      </w:r>
    </w:p>
    <w:p w:rsidR="009D6FC1" w:rsidRPr="00274FB2" w:rsidRDefault="009D6FC1" w:rsidP="00274FB2">
      <w:r w:rsidRPr="00274FB2">
        <w:t>Доля муниципальных дорог, не отвечающих нормативным требованиям</w:t>
      </w:r>
    </w:p>
    <w:p w:rsidR="009D6FC1" w:rsidRPr="00274FB2" w:rsidRDefault="009D6FC1" w:rsidP="00274FB2">
      <w:r w:rsidRPr="00274FB2">
        <w:t xml:space="preserve">Показатель определяется как отношение общей протяженности муниципальных автомобильных дорог, не отвечающих нормативным требованиям (ГОСТ Р 50597-93 «Автомобильные дороги и улицы. Требования к </w:t>
      </w:r>
      <w:r w:rsidRPr="00274FB2">
        <w:lastRenderedPageBreak/>
        <w:t>эксплуатационному состоянию, допустимому по условиям обеспечения безопасности дорожного движения») к общей протяженности региональных и муниципальных автомобильных дорог.</w:t>
      </w:r>
    </w:p>
    <w:p w:rsidR="009D6FC1" w:rsidRPr="00274FB2" w:rsidRDefault="009D6FC1" w:rsidP="00274FB2"/>
    <w:p w:rsidR="009D6FC1" w:rsidRPr="00274FB2" w:rsidRDefault="009D6FC1" w:rsidP="00274FB2">
      <w:r w:rsidRPr="00274FB2">
        <w:t>Показатель 19:</w:t>
      </w:r>
    </w:p>
    <w:p w:rsidR="009D6FC1" w:rsidRPr="00274FB2" w:rsidRDefault="009D6FC1" w:rsidP="00274FB2"/>
    <w:p w:rsidR="009D6FC1" w:rsidRPr="00274FB2" w:rsidRDefault="009D6FC1" w:rsidP="00274FB2">
      <w:r w:rsidRPr="00274FB2">
        <w:t>Расходы бюджета городского округа (муниципального района) на правоохранительную деятельность - всего, в том числе на содержание криминальной милиции</w:t>
      </w:r>
    </w:p>
    <w:p w:rsidR="009D6FC1" w:rsidRPr="00274FB2" w:rsidRDefault="009D6FC1" w:rsidP="00274FB2">
      <w:r w:rsidRPr="00274FB2">
        <w:t>В расходы на правоохранительную деятельность не включаются расходы на содержание органов и учреждений, обеспечивающих противопожарную безопасность.</w:t>
      </w:r>
    </w:p>
    <w:p w:rsidR="00E0728C" w:rsidRPr="00274FB2" w:rsidRDefault="00E0728C" w:rsidP="00274FB2"/>
    <w:p w:rsidR="00EC1E38" w:rsidRPr="00274FB2" w:rsidRDefault="00EC1E38" w:rsidP="00274FB2">
      <w:r w:rsidRPr="00274FB2">
        <w:t>Показатель 6:</w:t>
      </w:r>
    </w:p>
    <w:p w:rsidR="00EC1E38" w:rsidRPr="00274FB2" w:rsidRDefault="00EC1E38" w:rsidP="00274FB2">
      <w:r w:rsidRPr="00274FB2">
        <w:t>Расходы бюджета городского округа (муниципального района) на поддержку и развитие малого предпринимательства</w:t>
      </w:r>
    </w:p>
    <w:p w:rsidR="00EC1E38" w:rsidRPr="00274FB2" w:rsidRDefault="00EC1E38" w:rsidP="00274FB2">
      <w:r w:rsidRPr="00274FB2">
        <w:t>В случае если в расходах бюджета предусмотрены средства на поддержку микро-, малого и среднего предпринимательства, учитываются средства, направленные на микро- и малое предпринимательство (с численностью работающих на предприятии до 100 человек и иными параметрами, установленными нормативными правовыми актами Российской Федерации). Расходы бюджета городского округа (муниципального района) на малое предпринимательство не включают субсидии и субвенции, выделяемые из федерального бюджета, а также расходы, выделяемые на поддержку и развитие крестьянских фермерских хозяйств.</w:t>
      </w:r>
    </w:p>
    <w:p w:rsidR="00EC1E38" w:rsidRPr="00274FB2" w:rsidRDefault="00EC1E38" w:rsidP="00274FB2"/>
    <w:p w:rsidR="00EC1E38" w:rsidRPr="00274FB2" w:rsidRDefault="00EC1E38" w:rsidP="00274FB2">
      <w:r w:rsidRPr="00274FB2">
        <w:t>Показатель 2:</w:t>
      </w:r>
    </w:p>
    <w:p w:rsidR="00EC1E38" w:rsidRPr="00274FB2" w:rsidRDefault="00EC1E38" w:rsidP="00274FB2">
      <w:r w:rsidRPr="00274FB2">
        <w:t>Расходы бюджета городского округа (муниципального района) на сельское хозяйство в расчете на один рубль произведенной сельскохозяйственной продукции</w:t>
      </w:r>
    </w:p>
    <w:p w:rsidR="00EC1E38" w:rsidRPr="00274FB2" w:rsidRDefault="00EC1E38" w:rsidP="00274FB2">
      <w:r w:rsidRPr="00274FB2">
        <w:t>Расходы бюджета городского округа (муниципального района) на сельское хозяйство не включают субсидии и субвенции, выделяемые на поддержку сельского хозяйства из федерального бюджета.</w:t>
      </w:r>
    </w:p>
    <w:p w:rsidR="00EC1E38" w:rsidRPr="00274FB2" w:rsidRDefault="00EC1E38" w:rsidP="00274FB2"/>
    <w:p w:rsidR="00EC1E38" w:rsidRPr="00274FB2" w:rsidRDefault="00EC1E38" w:rsidP="00274FB2">
      <w:r w:rsidRPr="00274FB2">
        <w:t>Показатель 67:</w:t>
      </w:r>
    </w:p>
    <w:p w:rsidR="00EC1E38" w:rsidRPr="00274FB2" w:rsidRDefault="00EC1E38" w:rsidP="00274FB2">
      <w:r w:rsidRPr="00274FB2">
        <w:t>Объемы</w:t>
      </w:r>
      <w:r w:rsidR="00BE71A6" w:rsidRPr="00274FB2">
        <w:t xml:space="preserve"> </w:t>
      </w:r>
      <w:r w:rsidRPr="00274FB2">
        <w:t>просроченной</w:t>
      </w:r>
      <w:r w:rsidR="00BE71A6" w:rsidRPr="00274FB2">
        <w:t xml:space="preserve"> </w:t>
      </w:r>
      <w:r w:rsidRPr="00274FB2">
        <w:t>кредиторской</w:t>
      </w:r>
      <w:r w:rsidR="00BE71A6" w:rsidRPr="00274FB2">
        <w:t xml:space="preserve"> </w:t>
      </w:r>
      <w:r w:rsidRPr="00274FB2">
        <w:t>задолженности</w:t>
      </w:r>
    </w:p>
    <w:p w:rsidR="00EC1E38" w:rsidRPr="00274FB2" w:rsidRDefault="00EC1E38" w:rsidP="00274FB2">
      <w:r w:rsidRPr="00274FB2">
        <w:t>муниципальных учреждений, задолженности бюджета муниципального образования по исполнению обязательств перед гражданами</w:t>
      </w:r>
    </w:p>
    <w:p w:rsidR="00EC1E38" w:rsidRPr="00274FB2" w:rsidRDefault="00EC1E38" w:rsidP="00274FB2">
      <w:r w:rsidRPr="00274FB2">
        <w:t>При расчете объема просроченной кредиторской задолженности учитывается задолженность всех муниципальных учреждений в городском округе (муниципальном районе).</w:t>
      </w:r>
    </w:p>
    <w:p w:rsidR="00EC1E38" w:rsidRPr="00274FB2" w:rsidRDefault="00EC1E38" w:rsidP="00274FB2">
      <w:r w:rsidRPr="00274FB2">
        <w:t>При расчете задолженности бюджетов муниципальных образований по исполнению обязательств перед гражданами необходимо учитывать обязательства по выплате заработной платы работникам бюджетной сферы, пособий, пенсий, стипендий и других обязательств, относящихся к компетенции муниципальных образований.</w:t>
      </w:r>
    </w:p>
    <w:p w:rsidR="00D947D3" w:rsidRPr="00274FB2" w:rsidRDefault="00D947D3" w:rsidP="00274FB2"/>
    <w:p w:rsidR="00D947D3" w:rsidRPr="00274FB2" w:rsidRDefault="00D947D3" w:rsidP="00274FB2">
      <w:r w:rsidRPr="00274FB2">
        <w:t>Показатель 28:</w:t>
      </w:r>
    </w:p>
    <w:p w:rsidR="00D947D3" w:rsidRPr="00274FB2" w:rsidRDefault="00D947D3" w:rsidP="00274FB2">
      <w:r w:rsidRPr="00274FB2">
        <w:t xml:space="preserve">Расходы бюджета городского округа (муниципального района) на здравоохранение в расчете на одного жителя, в том числе на территориальную программу государственных гарантий оказания бесплатной медицинской помощи </w:t>
      </w:r>
      <w:r w:rsidRPr="00274FB2">
        <w:lastRenderedPageBreak/>
        <w:t>гражданам Российской Федерации, из них средства обязательного медицинского страхования</w:t>
      </w:r>
    </w:p>
    <w:p w:rsidR="00D947D3" w:rsidRPr="00274FB2" w:rsidRDefault="00D947D3" w:rsidP="00274FB2">
      <w:r w:rsidRPr="00274FB2">
        <w:t>В показателе учитываются в полном объеме расходы на территориальную программу государственных гарантий, включая взносы работодателей на обязательное медицинское страхование, за исключением средств федерального фонда обязательного медицинского страхования на дополнительное лекарственное обеспечение.</w:t>
      </w:r>
    </w:p>
    <w:p w:rsidR="00D947D3" w:rsidRPr="00274FB2" w:rsidRDefault="00D947D3" w:rsidP="00274FB2"/>
    <w:p w:rsidR="00D947D3" w:rsidRPr="00274FB2" w:rsidRDefault="00D947D3" w:rsidP="00274FB2">
      <w:r w:rsidRPr="00274FB2">
        <w:t>Показатель 8:</w:t>
      </w:r>
    </w:p>
    <w:p w:rsidR="00D947D3" w:rsidRPr="00274FB2" w:rsidRDefault="00D947D3" w:rsidP="00274FB2">
      <w:r w:rsidRPr="00274FB2">
        <w:t>Расходы бюджета городского округа (муниципального района) на</w:t>
      </w:r>
    </w:p>
    <w:p w:rsidR="00D947D3" w:rsidRPr="00274FB2" w:rsidRDefault="00D947D3" w:rsidP="00274FB2">
      <w:r w:rsidRPr="00274FB2">
        <w:t>капитальные вложения - всего, в том числе на:</w:t>
      </w:r>
    </w:p>
    <w:p w:rsidR="00D947D3" w:rsidRPr="00274FB2" w:rsidRDefault="00D947D3" w:rsidP="00274FB2">
      <w:r w:rsidRPr="00274FB2">
        <w:t>развитие транспортной инфраструктуры, из них на дорожное хозяйство;</w:t>
      </w:r>
    </w:p>
    <w:p w:rsidR="00D947D3" w:rsidRPr="00274FB2" w:rsidRDefault="00D947D3" w:rsidP="00274FB2">
      <w:r w:rsidRPr="00274FB2">
        <w:t>связь</w:t>
      </w:r>
    </w:p>
    <w:p w:rsidR="00D947D3" w:rsidRPr="00274FB2" w:rsidRDefault="00D947D3" w:rsidP="00274FB2">
      <w:r w:rsidRPr="00274FB2">
        <w:t>Расходы на развитие транспортной инфраструктуры отражаются как совокупность кодов целевых статей 300 00 00, 301 00 00, 302 00 00, 305 00 00, 310 00 00, 317 00 00, в привязке к коду экономической классификации 310.</w:t>
      </w:r>
    </w:p>
    <w:p w:rsidR="00D947D3" w:rsidRPr="00274FB2" w:rsidRDefault="00D947D3" w:rsidP="00274FB2">
      <w:r w:rsidRPr="00274FB2">
        <w:t>Расходы на дорожное хозяйство отражаются по коду целевой статьи 315 00 00 в 2007 году, по подразделу 09 «Дорожное хозяйство» раздела 04 «Национальная экономика» в привязке к коду экономической классификации 310.</w:t>
      </w:r>
    </w:p>
    <w:p w:rsidR="00D947D3" w:rsidRPr="00274FB2" w:rsidRDefault="00D947D3" w:rsidP="00274FB2">
      <w:r w:rsidRPr="00274FB2">
        <w:t>Расходы на связь (в том числе информационные технологии, создание технопарков в сфере высоких технологий) отражаются как совокупность кодов целевых статей 330 00 00 и 332 00 00 в привязки к коду экономической классификации 310.</w:t>
      </w:r>
    </w:p>
    <w:p w:rsidR="00D947D3" w:rsidRPr="00274FB2" w:rsidRDefault="00D947D3" w:rsidP="00274FB2"/>
    <w:p w:rsidR="00D947D3" w:rsidRPr="00274FB2" w:rsidRDefault="00D947D3" w:rsidP="00274FB2">
      <w:r w:rsidRPr="00274FB2">
        <w:t>Показатель 22:</w:t>
      </w:r>
    </w:p>
    <w:p w:rsidR="00D947D3" w:rsidRPr="00274FB2" w:rsidRDefault="00D947D3" w:rsidP="00274FB2">
      <w:r w:rsidRPr="00274FB2">
        <w:t>Доля муниципальных медицинских учреждений:</w:t>
      </w:r>
    </w:p>
    <w:p w:rsidR="00D947D3" w:rsidRPr="00274FB2" w:rsidRDefault="00D947D3" w:rsidP="00274FB2">
      <w:r w:rsidRPr="00274FB2">
        <w:t>применяющих медико-экономические стандарты оказания медицинской помощи;</w:t>
      </w:r>
    </w:p>
    <w:p w:rsidR="00D947D3" w:rsidRPr="00274FB2" w:rsidRDefault="00D947D3" w:rsidP="00274FB2">
      <w:r w:rsidRPr="00274FB2">
        <w:t>переведенных на оплату медицинской помощи по результатам деятельности;</w:t>
      </w:r>
    </w:p>
    <w:p w:rsidR="00D947D3" w:rsidRPr="00274FB2" w:rsidRDefault="00D947D3" w:rsidP="00274FB2">
      <w:r w:rsidRPr="00274FB2">
        <w:t>переведенных на новую (отраслевую) систему оплаты труда, ориентированную на результат</w:t>
      </w:r>
    </w:p>
    <w:p w:rsidR="00D947D3" w:rsidRPr="00274FB2" w:rsidRDefault="00D947D3" w:rsidP="00274FB2">
      <w:r w:rsidRPr="00274FB2">
        <w:t>Под новой (отраслевой) системой оплаты труда, ориентированной на результат, следует понимать утвержденную нормативными правовыми</w:t>
      </w:r>
    </w:p>
    <w:p w:rsidR="00CB15CD" w:rsidRPr="00274FB2" w:rsidRDefault="00CB15CD" w:rsidP="00274FB2">
      <w:r w:rsidRPr="00274FB2">
        <w:t>актами соответствующего муниципального образования систему оплаты труда, основанную на контрактной форме с учетом1 объема и качества труда. Оплата труда руководителя учреждения здравоохранения зависит от средней оплаты труда работников учреждения и повышающего коэффициента, отражающего объем, качество и уровень медицинской помощи, оказываемой данным учреждением здравоохранения.</w:t>
      </w:r>
    </w:p>
    <w:p w:rsidR="00CB15CD" w:rsidRPr="00274FB2" w:rsidRDefault="00CB15CD" w:rsidP="00274FB2"/>
    <w:p w:rsidR="00CB15CD" w:rsidRPr="00274FB2" w:rsidRDefault="00CB15CD" w:rsidP="00274FB2">
      <w:r w:rsidRPr="00274FB2">
        <w:t>Показатель 39:</w:t>
      </w:r>
    </w:p>
    <w:p w:rsidR="00CB15CD" w:rsidRPr="00274FB2" w:rsidRDefault="00CB15CD" w:rsidP="00274FB2">
      <w:r w:rsidRPr="00274FB2">
        <w:t>Доля</w:t>
      </w:r>
      <w:r w:rsidR="00BE71A6" w:rsidRPr="00274FB2">
        <w:t xml:space="preserve"> </w:t>
      </w:r>
      <w:r w:rsidRPr="00274FB2">
        <w:t>муниципальных</w:t>
      </w:r>
      <w:r w:rsidR="00BE71A6" w:rsidRPr="00274FB2">
        <w:t xml:space="preserve"> </w:t>
      </w:r>
      <w:r w:rsidRPr="00274FB2">
        <w:t>общеобразовательных</w:t>
      </w:r>
      <w:r w:rsidR="00BE71A6" w:rsidRPr="00274FB2">
        <w:t xml:space="preserve"> </w:t>
      </w:r>
      <w:r w:rsidRPr="00274FB2">
        <w:t>учреждений,</w:t>
      </w:r>
    </w:p>
    <w:p w:rsidR="00CB15CD" w:rsidRPr="00274FB2" w:rsidRDefault="00CB15CD" w:rsidP="00274FB2">
      <w:r w:rsidRPr="00274FB2">
        <w:t>переведенных:</w:t>
      </w:r>
    </w:p>
    <w:p w:rsidR="00CB15CD" w:rsidRPr="00274FB2" w:rsidRDefault="00CB15CD" w:rsidP="00274FB2">
      <w:r w:rsidRPr="00274FB2">
        <w:t>на нормативное подушевое финансирование;</w:t>
      </w:r>
    </w:p>
    <w:p w:rsidR="00CB15CD" w:rsidRPr="00274FB2" w:rsidRDefault="00CB15CD" w:rsidP="00274FB2">
      <w:r w:rsidRPr="00274FB2">
        <w:t>на новую (отраслевую) систему оплаты труда, ориентированную на результат</w:t>
      </w:r>
    </w:p>
    <w:p w:rsidR="00CB15CD" w:rsidRPr="00274FB2" w:rsidRDefault="00CB15CD" w:rsidP="00274FB2">
      <w:r w:rsidRPr="00274FB2">
        <w:t xml:space="preserve">Под новой (отраслевой) системой оплаты труда, ориентированной на результат, следует понимать утвержденную нормативными правовыми актами муниципального образования систему оплаты труда, соответствующую принципам, заложенным в модельной методике формирования системы оплаты и стимулирования труда в общеобразовательных учреждениях, направленную в субъекты Российской Федерации Минобрнауки России письмом от 3 сентября </w:t>
      </w:r>
      <w:r w:rsidRPr="00274FB2">
        <w:lastRenderedPageBreak/>
        <w:t>2006г. № АФ-213/03 «О подготовке и направлении вариантов модельных методик».</w:t>
      </w:r>
    </w:p>
    <w:p w:rsidR="00CB15CD" w:rsidRPr="00274FB2" w:rsidRDefault="00CB15CD" w:rsidP="00274FB2">
      <w:r w:rsidRPr="00274FB2">
        <w:t>В целях настоящей Инструкции:</w:t>
      </w:r>
    </w:p>
    <w:p w:rsidR="00CB15CD" w:rsidRPr="00274FB2" w:rsidRDefault="00CB15CD" w:rsidP="00274FB2">
      <w:r w:rsidRPr="00274FB2">
        <w:t>под капитальными расходами понимаются расходы по статье экономической классификации расходов бюджетов Российской Федерации (начиная с 2008 года - классификации операций сектора государственного управления) «Увеличение стоимости основных средств» (код 310);</w:t>
      </w:r>
    </w:p>
    <w:p w:rsidR="00CB15CD" w:rsidRPr="00274FB2" w:rsidRDefault="00CB15CD" w:rsidP="00274FB2">
      <w:r w:rsidRPr="00274FB2">
        <w:t>под текущими расходами понимаются остальные расходы (за исключением расходов на увеличение стоимости основных средств), определяющиеся как разница между итоговой строкой расходов экономической классификации (код 800) и строкой по статье экономической классификации «Увеличение основных средств» (код 310);</w:t>
      </w:r>
    </w:p>
    <w:p w:rsidR="00CB15CD" w:rsidRPr="00274FB2" w:rsidRDefault="00CB15CD" w:rsidP="00274FB2">
      <w:r w:rsidRPr="00274FB2">
        <w:t>под расходами на оплату труда и начисления на оплату труда понимаются расходы по статье экономической классификации «Оплата труда и начисления на оплату труда» (код 210).</w:t>
      </w:r>
    </w:p>
    <w:p w:rsidR="00CB15CD" w:rsidRPr="00274FB2" w:rsidRDefault="00CB15CD" w:rsidP="00274FB2">
      <w:r w:rsidRPr="00274FB2">
        <w:t>При заполнении таблицы с показателями для оценки эффективности деятельности органов исполнительной власти субъектов Российской Федерации не допускается изменение наименований показателей и их размерности.</w:t>
      </w:r>
    </w:p>
    <w:p w:rsidR="00CB15CD" w:rsidRPr="00274FB2" w:rsidRDefault="00CB15CD" w:rsidP="00274FB2"/>
    <w:sectPr w:rsidR="00CB15CD" w:rsidRPr="00274FB2" w:rsidSect="00274FB2">
      <w:type w:val="nextPage"/>
      <w:pgSz w:w="11906" w:h="16838"/>
      <w:pgMar w:top="1418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5C9" w:rsidRDefault="00D575C9">
      <w:r>
        <w:separator/>
      </w:r>
    </w:p>
  </w:endnote>
  <w:endnote w:type="continuationSeparator" w:id="0">
    <w:p w:rsidR="00D575C9" w:rsidRDefault="00D57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19" w:rsidRDefault="008C2219" w:rsidP="00A5058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C2219" w:rsidRDefault="008C2219" w:rsidP="00A5058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19" w:rsidRDefault="008C2219" w:rsidP="00A5058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5C9" w:rsidRDefault="00D575C9">
      <w:r>
        <w:separator/>
      </w:r>
    </w:p>
  </w:footnote>
  <w:footnote w:type="continuationSeparator" w:id="0">
    <w:p w:rsidR="00D575C9" w:rsidRDefault="00D57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19" w:rsidRDefault="008C2219" w:rsidP="00A5058F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C2219" w:rsidRDefault="008C221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19" w:rsidRDefault="008C2219" w:rsidP="00A5058F">
    <w:pPr>
      <w:pStyle w:val="a8"/>
      <w:framePr w:wrap="around" w:vAnchor="text" w:hAnchor="page" w:x="16075" w:y="5224"/>
      <w:textDirection w:val="tbRl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1E3C">
      <w:rPr>
        <w:rStyle w:val="a6"/>
        <w:noProof/>
      </w:rPr>
      <w:t>1</w:t>
    </w:r>
    <w:r>
      <w:rPr>
        <w:rStyle w:val="a6"/>
      </w:rPr>
      <w:fldChar w:fldCharType="end"/>
    </w:r>
  </w:p>
  <w:p w:rsidR="008C2219" w:rsidRDefault="008C221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6C61"/>
    <w:multiLevelType w:val="hybridMultilevel"/>
    <w:tmpl w:val="0C96151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4806E98"/>
    <w:multiLevelType w:val="hybridMultilevel"/>
    <w:tmpl w:val="3B302B06"/>
    <w:lvl w:ilvl="0" w:tplc="25A0DB56">
      <w:start w:val="1"/>
      <w:numFmt w:val="bullet"/>
      <w:lvlText w:val=""/>
      <w:lvlJc w:val="left"/>
      <w:pPr>
        <w:tabs>
          <w:tab w:val="num" w:pos="540"/>
        </w:tabs>
        <w:ind w:left="350" w:hanging="17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3CEC7A44"/>
    <w:multiLevelType w:val="hybridMultilevel"/>
    <w:tmpl w:val="B45263DE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F822151"/>
    <w:multiLevelType w:val="hybridMultilevel"/>
    <w:tmpl w:val="87263DDE"/>
    <w:lvl w:ilvl="0" w:tplc="B80AF85C">
      <w:start w:val="1"/>
      <w:numFmt w:val="decimal"/>
      <w:lvlText w:val="%1."/>
      <w:lvlJc w:val="left"/>
      <w:pPr>
        <w:tabs>
          <w:tab w:val="num" w:pos="1185"/>
        </w:tabs>
        <w:ind w:left="118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AAE28D2"/>
    <w:multiLevelType w:val="multilevel"/>
    <w:tmpl w:val="3B302B06"/>
    <w:lvl w:ilvl="0">
      <w:start w:val="1"/>
      <w:numFmt w:val="bullet"/>
      <w:lvlText w:val=""/>
      <w:lvlJc w:val="left"/>
      <w:pPr>
        <w:tabs>
          <w:tab w:val="num" w:pos="540"/>
        </w:tabs>
        <w:ind w:left="350" w:hanging="17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66CC5B34"/>
    <w:multiLevelType w:val="multilevel"/>
    <w:tmpl w:val="B45263DE"/>
    <w:lvl w:ilvl="0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3EF"/>
    <w:rsid w:val="00027F77"/>
    <w:rsid w:val="00060019"/>
    <w:rsid w:val="00062088"/>
    <w:rsid w:val="000674F8"/>
    <w:rsid w:val="00074FC9"/>
    <w:rsid w:val="000E41E8"/>
    <w:rsid w:val="00133916"/>
    <w:rsid w:val="00136A06"/>
    <w:rsid w:val="00153CCA"/>
    <w:rsid w:val="00167BBD"/>
    <w:rsid w:val="0017301B"/>
    <w:rsid w:val="001D1493"/>
    <w:rsid w:val="001D36E4"/>
    <w:rsid w:val="00201356"/>
    <w:rsid w:val="00223F03"/>
    <w:rsid w:val="00235105"/>
    <w:rsid w:val="0023693E"/>
    <w:rsid w:val="00274FB2"/>
    <w:rsid w:val="002849E7"/>
    <w:rsid w:val="002A125D"/>
    <w:rsid w:val="002B1836"/>
    <w:rsid w:val="00314C27"/>
    <w:rsid w:val="003E2606"/>
    <w:rsid w:val="00423F0E"/>
    <w:rsid w:val="004B32E6"/>
    <w:rsid w:val="004D1B75"/>
    <w:rsid w:val="0051545E"/>
    <w:rsid w:val="00565D1B"/>
    <w:rsid w:val="005D602E"/>
    <w:rsid w:val="005F0CD7"/>
    <w:rsid w:val="00622DD1"/>
    <w:rsid w:val="00646CF3"/>
    <w:rsid w:val="0066653C"/>
    <w:rsid w:val="006679E0"/>
    <w:rsid w:val="006702CE"/>
    <w:rsid w:val="007061A1"/>
    <w:rsid w:val="0071149B"/>
    <w:rsid w:val="007146E4"/>
    <w:rsid w:val="00720FD6"/>
    <w:rsid w:val="00756457"/>
    <w:rsid w:val="007E03F3"/>
    <w:rsid w:val="007F1E3C"/>
    <w:rsid w:val="007F31E0"/>
    <w:rsid w:val="007F4616"/>
    <w:rsid w:val="008262B0"/>
    <w:rsid w:val="00840574"/>
    <w:rsid w:val="008672CD"/>
    <w:rsid w:val="008C2219"/>
    <w:rsid w:val="008C48B8"/>
    <w:rsid w:val="008D13EF"/>
    <w:rsid w:val="008E2056"/>
    <w:rsid w:val="008E62FB"/>
    <w:rsid w:val="00904771"/>
    <w:rsid w:val="009509B3"/>
    <w:rsid w:val="00966B75"/>
    <w:rsid w:val="00975462"/>
    <w:rsid w:val="009842FA"/>
    <w:rsid w:val="009A23DD"/>
    <w:rsid w:val="009C4371"/>
    <w:rsid w:val="009D6FC1"/>
    <w:rsid w:val="00A1407B"/>
    <w:rsid w:val="00A5058F"/>
    <w:rsid w:val="00A533EF"/>
    <w:rsid w:val="00A621C2"/>
    <w:rsid w:val="00A65909"/>
    <w:rsid w:val="00A7292B"/>
    <w:rsid w:val="00B318FF"/>
    <w:rsid w:val="00B35630"/>
    <w:rsid w:val="00B53E5B"/>
    <w:rsid w:val="00B82480"/>
    <w:rsid w:val="00B836DC"/>
    <w:rsid w:val="00B91478"/>
    <w:rsid w:val="00BA3613"/>
    <w:rsid w:val="00BE3E8A"/>
    <w:rsid w:val="00BE71A6"/>
    <w:rsid w:val="00BF7B83"/>
    <w:rsid w:val="00C86BFC"/>
    <w:rsid w:val="00CB15CD"/>
    <w:rsid w:val="00CB724A"/>
    <w:rsid w:val="00D058D1"/>
    <w:rsid w:val="00D2096D"/>
    <w:rsid w:val="00D31647"/>
    <w:rsid w:val="00D32A84"/>
    <w:rsid w:val="00D54640"/>
    <w:rsid w:val="00D575C9"/>
    <w:rsid w:val="00D600AB"/>
    <w:rsid w:val="00D947D3"/>
    <w:rsid w:val="00E0728C"/>
    <w:rsid w:val="00E179E0"/>
    <w:rsid w:val="00EC1E38"/>
    <w:rsid w:val="00EF0750"/>
    <w:rsid w:val="00F04B35"/>
    <w:rsid w:val="00F16A8D"/>
    <w:rsid w:val="00F27C4D"/>
    <w:rsid w:val="00F332C2"/>
    <w:rsid w:val="00F76807"/>
    <w:rsid w:val="00F97D1C"/>
    <w:rsid w:val="00FA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F1E3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F1E3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F1E3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F1E3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F1E3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F1E3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F1E3C"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</w:style>
  <w:style w:type="table" w:styleId="a5">
    <w:name w:val="Table Grid"/>
    <w:basedOn w:val="a1"/>
    <w:rsid w:val="00720F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rsid w:val="006702CE"/>
    <w:pPr>
      <w:spacing w:after="120" w:line="480" w:lineRule="auto"/>
    </w:pPr>
  </w:style>
  <w:style w:type="table" w:styleId="-3">
    <w:name w:val="Table List 3"/>
    <w:basedOn w:val="a1"/>
    <w:rsid w:val="006702C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31">
    <w:name w:val="Body Text Indent 3"/>
    <w:basedOn w:val="a"/>
    <w:rsid w:val="00A5058F"/>
    <w:pPr>
      <w:spacing w:after="120"/>
      <w:ind w:left="283"/>
    </w:pPr>
    <w:rPr>
      <w:sz w:val="16"/>
      <w:szCs w:val="16"/>
    </w:rPr>
  </w:style>
  <w:style w:type="character" w:styleId="a6">
    <w:name w:val="page number"/>
    <w:basedOn w:val="a0"/>
    <w:rsid w:val="00A5058F"/>
  </w:style>
  <w:style w:type="paragraph" w:styleId="32">
    <w:name w:val="Body Text 3"/>
    <w:basedOn w:val="a"/>
    <w:rsid w:val="00A5058F"/>
    <w:pPr>
      <w:suppressAutoHyphens/>
    </w:pPr>
    <w:rPr>
      <w:sz w:val="26"/>
      <w:szCs w:val="30"/>
    </w:rPr>
  </w:style>
  <w:style w:type="paragraph" w:styleId="a7">
    <w:name w:val="footer"/>
    <w:basedOn w:val="a"/>
    <w:rsid w:val="00A5058F"/>
    <w:pPr>
      <w:tabs>
        <w:tab w:val="center" w:pos="4677"/>
        <w:tab w:val="right" w:pos="9355"/>
      </w:tabs>
    </w:pPr>
  </w:style>
  <w:style w:type="paragraph" w:customStyle="1" w:styleId="rvps706640">
    <w:name w:val="rvps706640"/>
    <w:basedOn w:val="a"/>
    <w:rsid w:val="00A5058F"/>
    <w:pPr>
      <w:spacing w:after="150"/>
      <w:ind w:right="300"/>
    </w:pPr>
  </w:style>
  <w:style w:type="paragraph" w:styleId="a8">
    <w:name w:val="header"/>
    <w:basedOn w:val="a"/>
    <w:rsid w:val="00A5058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274FB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74FB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274FB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274FB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F1E3C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7F1E3C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basedOn w:val="a0"/>
    <w:link w:val="a9"/>
    <w:rsid w:val="00274FB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F1E3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7F1E3C"/>
    <w:rPr>
      <w:color w:val="0000FF"/>
      <w:u w:val="none"/>
    </w:rPr>
  </w:style>
  <w:style w:type="paragraph" w:customStyle="1" w:styleId="Application">
    <w:name w:val="Application!Приложение"/>
    <w:rsid w:val="007F1E3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F1E3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F1E3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F1E3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F1E3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F1E3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F1E3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F1E3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F1E3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F1E3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F1E3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F1E3C"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</w:style>
  <w:style w:type="table" w:styleId="a5">
    <w:name w:val="Table Grid"/>
    <w:basedOn w:val="a1"/>
    <w:rsid w:val="00720F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rsid w:val="006702CE"/>
    <w:pPr>
      <w:spacing w:after="120" w:line="480" w:lineRule="auto"/>
    </w:pPr>
  </w:style>
  <w:style w:type="table" w:styleId="-3">
    <w:name w:val="Table List 3"/>
    <w:basedOn w:val="a1"/>
    <w:rsid w:val="006702C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31">
    <w:name w:val="Body Text Indent 3"/>
    <w:basedOn w:val="a"/>
    <w:rsid w:val="00A5058F"/>
    <w:pPr>
      <w:spacing w:after="120"/>
      <w:ind w:left="283"/>
    </w:pPr>
    <w:rPr>
      <w:sz w:val="16"/>
      <w:szCs w:val="16"/>
    </w:rPr>
  </w:style>
  <w:style w:type="character" w:styleId="a6">
    <w:name w:val="page number"/>
    <w:basedOn w:val="a0"/>
    <w:rsid w:val="00A5058F"/>
  </w:style>
  <w:style w:type="paragraph" w:styleId="32">
    <w:name w:val="Body Text 3"/>
    <w:basedOn w:val="a"/>
    <w:rsid w:val="00A5058F"/>
    <w:pPr>
      <w:suppressAutoHyphens/>
    </w:pPr>
    <w:rPr>
      <w:sz w:val="26"/>
      <w:szCs w:val="30"/>
    </w:rPr>
  </w:style>
  <w:style w:type="paragraph" w:styleId="a7">
    <w:name w:val="footer"/>
    <w:basedOn w:val="a"/>
    <w:rsid w:val="00A5058F"/>
    <w:pPr>
      <w:tabs>
        <w:tab w:val="center" w:pos="4677"/>
        <w:tab w:val="right" w:pos="9355"/>
      </w:tabs>
    </w:pPr>
  </w:style>
  <w:style w:type="paragraph" w:customStyle="1" w:styleId="rvps706640">
    <w:name w:val="rvps706640"/>
    <w:basedOn w:val="a"/>
    <w:rsid w:val="00A5058F"/>
    <w:pPr>
      <w:spacing w:after="150"/>
      <w:ind w:right="300"/>
    </w:pPr>
  </w:style>
  <w:style w:type="paragraph" w:styleId="a8">
    <w:name w:val="header"/>
    <w:basedOn w:val="a"/>
    <w:rsid w:val="00A5058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274FB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74FB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274FB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274FB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F1E3C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7F1E3C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basedOn w:val="a0"/>
    <w:link w:val="a9"/>
    <w:rsid w:val="00274FB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F1E3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7F1E3C"/>
    <w:rPr>
      <w:color w:val="0000FF"/>
      <w:u w:val="none"/>
    </w:rPr>
  </w:style>
  <w:style w:type="paragraph" w:customStyle="1" w:styleId="Application">
    <w:name w:val="Application!Приложение"/>
    <w:rsid w:val="007F1E3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F1E3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F1E3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F1E3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F1E3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index.php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zakon.scli.ru/ru/legal_texts/index.php" TargetMode="External"/><Relationship Id="rId10" Type="http://schemas.openxmlformats.org/officeDocument/2006/relationships/hyperlink" Target="http://192.168.99.77:8080/content/act/ac2a79bf-a1a6-456c-ae48-bde3f08b4b43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.scli.ru/ru/legal_texts/index.php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22</Pages>
  <Words>6430</Words>
  <Characters>36652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СОГЛАСОВАНИЯ</vt:lpstr>
    </vt:vector>
  </TitlesOfParts>
  <Company>Администрация МО "Крапивинский район"</Company>
  <LinksUpToDate>false</LinksUpToDate>
  <CharactersWithSpaces>42997</CharactersWithSpaces>
  <SharedDoc>false</SharedDoc>
  <HLinks>
    <vt:vector size="24" baseType="variant">
      <vt:variant>
        <vt:i4>6619158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5177431</vt:i4>
      </vt:variant>
      <vt:variant>
        <vt:i4>6</vt:i4>
      </vt:variant>
      <vt:variant>
        <vt:i4>0</vt:i4>
      </vt:variant>
      <vt:variant>
        <vt:i4>5</vt:i4>
      </vt:variant>
      <vt:variant>
        <vt:lpwstr>/content/act/ac2a79bf-a1a6-456c-ae48-bde3f08b4b43.doc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СОГЛАСОВАНИЯ</dc:title>
  <dc:creator>008</dc:creator>
  <cp:lastModifiedBy>008</cp:lastModifiedBy>
  <cp:revision>1</cp:revision>
  <cp:lastPrinted>2006-05-19T03:27:00Z</cp:lastPrinted>
  <dcterms:created xsi:type="dcterms:W3CDTF">2018-09-06T10:00:00Z</dcterms:created>
  <dcterms:modified xsi:type="dcterms:W3CDTF">2018-09-06T10:01:00Z</dcterms:modified>
</cp:coreProperties>
</file>