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6A" w:rsidRPr="00CF13E4" w:rsidRDefault="00B8795E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962025" cy="1144905"/>
            <wp:effectExtent l="0" t="0" r="9525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CF13E4" w:rsidRPr="00CF13E4" w:rsidRDefault="00CF13E4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F066A" w:rsidRPr="00CF13E4" w:rsidRDefault="000F066A" w:rsidP="00CF13E4">
      <w:pPr>
        <w:jc w:val="center"/>
        <w:rPr>
          <w:rFonts w:eastAsia="Arial Unicode MS"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C519B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 xml:space="preserve">от </w:t>
      </w:r>
      <w:r w:rsidR="00FC519B" w:rsidRPr="00CF13E4">
        <w:rPr>
          <w:rFonts w:cs="Arial"/>
          <w:b/>
          <w:bCs/>
          <w:kern w:val="28"/>
          <w:sz w:val="32"/>
          <w:szCs w:val="32"/>
        </w:rPr>
        <w:t xml:space="preserve">22.08.2008 г. </w:t>
      </w:r>
      <w:r w:rsidRPr="00CF13E4">
        <w:rPr>
          <w:rFonts w:cs="Arial"/>
          <w:b/>
          <w:bCs/>
          <w:kern w:val="28"/>
          <w:sz w:val="32"/>
          <w:szCs w:val="32"/>
        </w:rPr>
        <w:t>№</w:t>
      </w:r>
      <w:r w:rsidR="00FC519B" w:rsidRPr="00CF13E4">
        <w:rPr>
          <w:rFonts w:cs="Arial"/>
          <w:b/>
          <w:bCs/>
          <w:kern w:val="28"/>
          <w:sz w:val="32"/>
          <w:szCs w:val="32"/>
        </w:rPr>
        <w:t xml:space="preserve"> 1542-р</w:t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>п.г.т. Крапивинский</w:t>
      </w: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F066A" w:rsidRPr="00CF13E4" w:rsidRDefault="000F066A" w:rsidP="00CF13E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CF13E4">
        <w:rPr>
          <w:rFonts w:cs="Arial"/>
          <w:b/>
          <w:bCs/>
          <w:kern w:val="28"/>
          <w:sz w:val="32"/>
          <w:szCs w:val="32"/>
        </w:rPr>
        <w:t xml:space="preserve">О создании и поддержании в постоянной готовности к использованию технических средств управления и объектов ГО </w:t>
      </w:r>
    </w:p>
    <w:p w:rsidR="000F066A" w:rsidRDefault="000F066A" w:rsidP="00CF13E4">
      <w:pPr>
        <w:rPr>
          <w:rFonts w:cs="Arial"/>
        </w:rPr>
      </w:pPr>
    </w:p>
    <w:p w:rsidR="005203B0" w:rsidRPr="00CF13E4" w:rsidRDefault="005203B0" w:rsidP="00CF13E4">
      <w:pPr>
        <w:rPr>
          <w:rFonts w:cs="Arial"/>
        </w:rPr>
      </w:pPr>
      <w:bookmarkStart w:id="0" w:name="_GoBack"/>
      <w:bookmarkEnd w:id="0"/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В соответствии с Федеральным законом "О гражданской обороне" </w:t>
      </w:r>
      <w:hyperlink r:id="rId7" w:history="1">
        <w:r w:rsidRPr="007915C1">
          <w:rPr>
            <w:rStyle w:val="a8"/>
            <w:rFonts w:cs="Arial"/>
          </w:rPr>
          <w:t>от 12.02.98 N 28-ФЗ</w:t>
        </w:r>
      </w:hyperlink>
      <w:r w:rsidRPr="00CF13E4">
        <w:rPr>
          <w:rFonts w:cs="Arial"/>
        </w:rPr>
        <w:t xml:space="preserve"> в целях создания и поддержания в постоянной готовности к использованию технических средств управления и объектов гражданской обороны: </w:t>
      </w:r>
    </w:p>
    <w:p w:rsidR="000F066A" w:rsidRPr="00CF13E4" w:rsidRDefault="007915C1" w:rsidP="00CF13E4">
      <w:pPr>
        <w:rPr>
          <w:rFonts w:cs="Arial"/>
        </w:rPr>
      </w:pPr>
      <w:r>
        <w:rPr>
          <w:rFonts w:cs="Arial"/>
        </w:rPr>
        <w:t xml:space="preserve">1. </w:t>
      </w:r>
      <w:r w:rsidR="000F066A" w:rsidRPr="00CF13E4">
        <w:rPr>
          <w:rFonts w:cs="Arial"/>
        </w:rPr>
        <w:t>Утвердить прилагаемое Положение о создании и поддержании в постоянной готовности к использованию технических средств управления и объектов ГО.</w:t>
      </w:r>
    </w:p>
    <w:p w:rsidR="000F066A" w:rsidRPr="00CF13E4" w:rsidRDefault="007915C1" w:rsidP="00CF13E4">
      <w:pPr>
        <w:rPr>
          <w:rFonts w:cs="Arial"/>
        </w:rPr>
      </w:pPr>
      <w:r>
        <w:rPr>
          <w:rFonts w:cs="Arial"/>
        </w:rPr>
        <w:t xml:space="preserve">2. </w:t>
      </w:r>
      <w:r w:rsidR="000F066A" w:rsidRPr="00CF13E4">
        <w:rPr>
          <w:rFonts w:cs="Arial"/>
        </w:rPr>
        <w:t>Руководителю службы связи и оповещения Крапивинского района -начальнику узла технической эксплуатации Л-Кузнецкого ЦТ ОАО «Сибирьтелеком» Шамякиной И.Э.(по согласованию) продолжить работу по совершенствованию и поддержанию в постоянной готовности к использованию технических средств управления и объектов ГО, представлять информацию о проводимой в этой области работе в отдел по делам ГОЧС и безопасности не менее одного раза в полгода.</w:t>
      </w:r>
    </w:p>
    <w:p w:rsidR="000F066A" w:rsidRPr="00CF13E4" w:rsidRDefault="007915C1" w:rsidP="00CF13E4">
      <w:pPr>
        <w:rPr>
          <w:rFonts w:cs="Arial"/>
        </w:rPr>
      </w:pPr>
      <w:r>
        <w:rPr>
          <w:rFonts w:cs="Arial"/>
        </w:rPr>
        <w:t xml:space="preserve">3. </w:t>
      </w:r>
      <w:r w:rsidR="000F066A" w:rsidRPr="00CF13E4">
        <w:rPr>
          <w:rFonts w:cs="Arial"/>
        </w:rPr>
        <w:t>Заместителю начальника организационно-территориального отдела администрации Крапивинского района Трегубову Д.В. обеспечивать комплекс мероприятий по поддержанию в постоянной готовности автоматизированной системы управления и обмена информацией.</w:t>
      </w:r>
    </w:p>
    <w:p w:rsidR="000F066A" w:rsidRPr="00CF13E4" w:rsidRDefault="007915C1" w:rsidP="00CF13E4">
      <w:pPr>
        <w:rPr>
          <w:rFonts w:cs="Arial"/>
        </w:rPr>
      </w:pPr>
      <w:r>
        <w:rPr>
          <w:rFonts w:cs="Arial"/>
        </w:rPr>
        <w:t xml:space="preserve">4. </w:t>
      </w:r>
      <w:r w:rsidR="000F066A" w:rsidRPr="00CF13E4">
        <w:rPr>
          <w:rFonts w:cs="Arial"/>
        </w:rPr>
        <w:t>Контроль за наличием и состоянием технических средств управления и объектов ГО в районе возложить на отдел по делам ГОЧС и безопасности администрации района.</w:t>
      </w:r>
    </w:p>
    <w:p w:rsidR="000F066A" w:rsidRPr="00CF13E4" w:rsidRDefault="007915C1" w:rsidP="00CF13E4">
      <w:pPr>
        <w:rPr>
          <w:rFonts w:cs="Arial"/>
        </w:rPr>
      </w:pPr>
      <w:r>
        <w:rPr>
          <w:rFonts w:cs="Arial"/>
        </w:rPr>
        <w:t>5.</w:t>
      </w:r>
      <w:r w:rsidR="000F066A" w:rsidRPr="00CF13E4">
        <w:rPr>
          <w:rFonts w:cs="Arial"/>
        </w:rPr>
        <w:t xml:space="preserve"> Распоряжение вступает в силу со дня подписания.</w:t>
      </w:r>
    </w:p>
    <w:p w:rsidR="000F066A" w:rsidRPr="00CF13E4" w:rsidRDefault="000F066A" w:rsidP="00CF13E4">
      <w:pPr>
        <w:rPr>
          <w:rFonts w:cs="Arial"/>
        </w:rPr>
      </w:pP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>Глава муниципального образования</w:t>
      </w:r>
    </w:p>
    <w:p w:rsidR="00F85D4B" w:rsidRPr="00CF13E4" w:rsidRDefault="000F066A" w:rsidP="00CF13E4">
      <w:pPr>
        <w:rPr>
          <w:rFonts w:cs="Arial"/>
        </w:rPr>
      </w:pPr>
      <w:r w:rsidRPr="00CF13E4">
        <w:rPr>
          <w:rFonts w:cs="Arial"/>
        </w:rPr>
        <w:t>«Крапивинский район»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>В.А.Альберт</w:t>
      </w:r>
    </w:p>
    <w:p w:rsidR="000F066A" w:rsidRPr="00CF13E4" w:rsidRDefault="000F066A" w:rsidP="00CF13E4">
      <w:pPr>
        <w:rPr>
          <w:rFonts w:cs="Arial"/>
        </w:rPr>
      </w:pPr>
    </w:p>
    <w:p w:rsidR="000F066A" w:rsidRPr="007915C1" w:rsidRDefault="000F066A" w:rsidP="007915C1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915C1">
        <w:rPr>
          <w:rFonts w:cs="Arial"/>
          <w:b/>
          <w:bCs/>
          <w:kern w:val="28"/>
          <w:sz w:val="32"/>
          <w:szCs w:val="32"/>
        </w:rPr>
        <w:t xml:space="preserve">Приложение </w:t>
      </w:r>
    </w:p>
    <w:p w:rsidR="000F066A" w:rsidRPr="007915C1" w:rsidRDefault="000F066A" w:rsidP="007915C1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915C1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0F066A" w:rsidRPr="007915C1" w:rsidRDefault="000F066A" w:rsidP="007915C1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915C1">
        <w:rPr>
          <w:rFonts w:cs="Arial"/>
          <w:b/>
          <w:bCs/>
          <w:kern w:val="28"/>
          <w:sz w:val="32"/>
          <w:szCs w:val="32"/>
        </w:rPr>
        <w:t xml:space="preserve"> распоряжением № </w:t>
      </w:r>
      <w:r w:rsidR="00F85D4B" w:rsidRPr="007915C1">
        <w:rPr>
          <w:rFonts w:cs="Arial"/>
          <w:b/>
          <w:bCs/>
          <w:kern w:val="28"/>
          <w:sz w:val="32"/>
          <w:szCs w:val="32"/>
        </w:rPr>
        <w:t>1542-р</w:t>
      </w:r>
    </w:p>
    <w:p w:rsidR="000F066A" w:rsidRPr="007915C1" w:rsidRDefault="00F85D4B" w:rsidP="007915C1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915C1">
        <w:rPr>
          <w:rFonts w:cs="Arial"/>
          <w:b/>
          <w:bCs/>
          <w:kern w:val="28"/>
          <w:sz w:val="32"/>
          <w:szCs w:val="32"/>
        </w:rPr>
        <w:lastRenderedPageBreak/>
        <w:t xml:space="preserve">от 22 августа </w:t>
      </w:r>
      <w:smartTag w:uri="urn:schemas-microsoft-com:office:smarttags" w:element="metricconverter">
        <w:smartTagPr>
          <w:attr w:name="ProductID" w:val="2008 г"/>
        </w:smartTagPr>
        <w:r w:rsidR="000F066A" w:rsidRPr="007915C1">
          <w:rPr>
            <w:rFonts w:cs="Arial"/>
            <w:b/>
            <w:bCs/>
            <w:kern w:val="28"/>
            <w:sz w:val="32"/>
            <w:szCs w:val="32"/>
          </w:rPr>
          <w:t>2008</w:t>
        </w:r>
        <w:r w:rsidRPr="007915C1">
          <w:rPr>
            <w:rFonts w:cs="Arial"/>
            <w:b/>
            <w:bCs/>
            <w:kern w:val="28"/>
            <w:sz w:val="32"/>
            <w:szCs w:val="32"/>
          </w:rPr>
          <w:t xml:space="preserve"> </w:t>
        </w:r>
        <w:r w:rsidR="000F066A" w:rsidRPr="007915C1">
          <w:rPr>
            <w:rFonts w:cs="Arial"/>
            <w:b/>
            <w:bCs/>
            <w:kern w:val="28"/>
            <w:sz w:val="32"/>
            <w:szCs w:val="32"/>
          </w:rPr>
          <w:t>г</w:t>
        </w:r>
      </w:smartTag>
      <w:r w:rsidR="000F066A" w:rsidRPr="007915C1">
        <w:rPr>
          <w:rFonts w:cs="Arial"/>
          <w:b/>
          <w:bCs/>
          <w:kern w:val="28"/>
          <w:sz w:val="32"/>
          <w:szCs w:val="32"/>
        </w:rPr>
        <w:t xml:space="preserve">. </w:t>
      </w:r>
    </w:p>
    <w:p w:rsidR="000F066A" w:rsidRPr="00CF13E4" w:rsidRDefault="000F066A" w:rsidP="00CF13E4">
      <w:pPr>
        <w:rPr>
          <w:rFonts w:cs="Arial"/>
        </w:rPr>
      </w:pPr>
    </w:p>
    <w:p w:rsidR="000F066A" w:rsidRPr="007915C1" w:rsidRDefault="000F066A" w:rsidP="007915C1">
      <w:pPr>
        <w:jc w:val="center"/>
        <w:rPr>
          <w:rFonts w:cs="Arial"/>
          <w:b/>
          <w:bCs/>
          <w:iCs/>
          <w:sz w:val="30"/>
          <w:szCs w:val="28"/>
        </w:rPr>
      </w:pPr>
      <w:r w:rsidRPr="007915C1">
        <w:rPr>
          <w:rFonts w:cs="Arial"/>
          <w:b/>
          <w:bCs/>
          <w:iCs/>
          <w:sz w:val="30"/>
          <w:szCs w:val="28"/>
        </w:rPr>
        <w:t>ПОЛОЖЕНИЕ</w:t>
      </w:r>
    </w:p>
    <w:p w:rsidR="000F066A" w:rsidRPr="007915C1" w:rsidRDefault="000F066A" w:rsidP="007915C1">
      <w:pPr>
        <w:jc w:val="center"/>
        <w:rPr>
          <w:rFonts w:cs="Arial"/>
          <w:b/>
          <w:bCs/>
          <w:iCs/>
          <w:sz w:val="30"/>
          <w:szCs w:val="28"/>
        </w:rPr>
      </w:pPr>
      <w:r w:rsidRPr="007915C1">
        <w:rPr>
          <w:rFonts w:cs="Arial"/>
          <w:b/>
          <w:bCs/>
          <w:iCs/>
          <w:sz w:val="30"/>
          <w:szCs w:val="28"/>
        </w:rPr>
        <w:t>О СОЗДАНИИ И ПОДДЕРЖАНИИ ПОСТОЯННОЙ ГОТОВНОСТИ</w:t>
      </w:r>
    </w:p>
    <w:p w:rsidR="000F066A" w:rsidRPr="007915C1" w:rsidRDefault="000F066A" w:rsidP="007915C1">
      <w:pPr>
        <w:jc w:val="center"/>
        <w:rPr>
          <w:rFonts w:cs="Arial"/>
          <w:b/>
          <w:bCs/>
          <w:iCs/>
          <w:sz w:val="30"/>
          <w:szCs w:val="28"/>
        </w:rPr>
      </w:pPr>
      <w:r w:rsidRPr="007915C1">
        <w:rPr>
          <w:rFonts w:cs="Arial"/>
          <w:b/>
          <w:bCs/>
          <w:iCs/>
          <w:sz w:val="30"/>
          <w:szCs w:val="28"/>
        </w:rPr>
        <w:t>К ИСПОЛЬЗОВАНИЮ ТЕХНИЧЕСКИХ СРЕДСТВ УПРАВЛЕНИЯ</w:t>
      </w:r>
    </w:p>
    <w:p w:rsidR="000F066A" w:rsidRPr="007915C1" w:rsidRDefault="000F066A" w:rsidP="007915C1">
      <w:pPr>
        <w:jc w:val="center"/>
        <w:rPr>
          <w:rFonts w:cs="Arial"/>
          <w:b/>
          <w:bCs/>
          <w:iCs/>
          <w:sz w:val="30"/>
          <w:szCs w:val="28"/>
        </w:rPr>
      </w:pPr>
      <w:r w:rsidRPr="007915C1">
        <w:rPr>
          <w:rFonts w:cs="Arial"/>
          <w:b/>
          <w:bCs/>
          <w:iCs/>
          <w:sz w:val="30"/>
          <w:szCs w:val="28"/>
        </w:rPr>
        <w:t>И ОБЪЕКТОВ ГРАЖДАНСКОЙ ОБОРОНЫ.</w:t>
      </w:r>
    </w:p>
    <w:p w:rsidR="000F066A" w:rsidRPr="00CF13E4" w:rsidRDefault="000F066A" w:rsidP="00CF13E4">
      <w:pPr>
        <w:rPr>
          <w:rFonts w:cs="Arial"/>
        </w:rPr>
      </w:pP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1. Система управления ГО составляет совокупность взаимосвязанных органов и пунктов управления всех звеньев, оснащенных системой связи, оповещения и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2. Пункт управления (далее ПУ) - специально оборудованный и оснащенный необходимыми техническими средствами (жизнеобеспечения, информационными, управления и связи) объект (объект гражданской обороны), с которого органы управления осуществляют свою функциональную деятельность по управлению подчиненными и подведомственными организационными структурами. Пункты управления могут быть стационарными (в специально оборудованных сооружениях: обычных наземных зданиях и специальных защитных сооружениях) и подвижными.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Автоматизированная система управления и обмена информацией - система, обеспечивающая сбор, обработку, хранение информации, решение задач и подготовку предложений по организации управления и действий подчиненных органов управления, сил и средств подсистемы РСЧС района, а также комплекс программно - технических средств, непосредственно обеспечивающих подготовку и поддержание обмена информацией по различным каналам связи.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3. Для обеспечения непрерывного руководства ГО в каждом звене управления заблаговременно, в мирное время, создается система связи ГО, которая полностью развертывается при переводе ГО с мирного положения на военное.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Узел связи - организационно-техническое объединение сил и средств, а также автоматизированных средств по сбору и обмену информацией, расположенных на пунктах управления гражданской обороны, звеньев подсистемы РСЧС или других центрах коммутации каналов и предназначены для обеспечения функции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Она представляет собой организационно-техническое объединение сил и средств связи (общегосударственных и ведомственных).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Система связи ГО района базируется на сети электросвязи общего пользования и операторов сотовой связи.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4. Связь от районного ПУ организуется: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 ПУ вышестоящих начальников;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 ПУ военным комиссариатом районов;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 ПУ подчиненными органами управления и службами ГО;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 эвакоорганами.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5. Связь является основным средством, обеспечивающим управление ГО. Она определяет готовность системы управления ГО. Потеря связи ведет к потере управления и к невыполнению поставленных задач.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6. Технические средства ПУ в мирное время поддерживаются в состоянии, обеспечивающем приведение их в готовность к использованию по назначению и в сроки, устанавливаемые директивными органами.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Это обеспечивается: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lastRenderedPageBreak/>
        <w:t xml:space="preserve">- знанием обслуживающим персоналом устройств оборудования и правил их эксплуатации;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соблюдением требований правил техники электробезопасности;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практическими навыками личного состава по обслуживанию и ремонту технических средств управления;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своевременным планированием четкой организацией и точным выполнением всех мероприятий по обслуживанию и ремонту технических средств управления;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своевременным пополнением ЗИП для ремонта технических средств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7. Технические средства управления при повседневной эксплуатации должны содержаться в исправности и готовности к действию. Графики работы отдельных технических средств управления разрабатываются начальником (комендантом) ПУ и утверждаются руководителем организации, на балансе которой находятся средства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8. Технические средства управления ГО местного уровня создаются, совершенствуются и поддерживаются в постоянной готовности к действиям под руководством руководителя службы оповещения и связи Крапивинского района.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9. Объектовые технические средства управления создаются, совершенствуются и поддерживаются в постоянной готовности к действиям под руководством руководителя службы оповещения и связи Крапивинского района.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10. За поддержание в постоянной готовности к использованию технических средств управления ГО отвечает руководитель организации, на балансе которой находятся технические средства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11. Под техническими средствами управления понимается совокупность средств связи, оповещения, автоматизированные системы управления (АСУ), отдельных установок предназначенных для обеспечения и оповещения в различных условиях обстановки.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12. Состав технических средств управления и объектов ГО входят: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система радиосвязи;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система проводной и сотовой связи;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система оповещения;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система АСУ (автоматизированная система управления);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система энергоснабжения и аппаратуры электросвязи общего пользования;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-система контроля, сигнализации за ТСУ (технические средства управления).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13. Технические средства управления обязаны содержаться в исправном состоянии и готовности к использованию по назначению в соответствии с установленным порядком и режимами работы, предусмотренными руководящими и эксплуатационными документами.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14. Изменение режимов работы ТСУ (включение, отключение, переход на резервные системы и средства) осуществляются дежурным персоналом с записью в журнал дежурства.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15. Ежемесячный и годовой учет работы ТСУ фиксируется в формулярах (паспортах).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16. При повседневной эксплуатации технические средства управления обеспечиваются электроэнергией от внешних (основных) источников электроснабжения.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При этом: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в помещениях, где находится дежурный персонал, предусматривается рабочее и аварийное освещение;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- потребители постоянного тока питаются от выпрямительных устройств, работающих в буферном режиме с аккумуляторными батареями.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lastRenderedPageBreak/>
        <w:t xml:space="preserve">17. Техническое обслуживание и эксплуатация технических средств управления и объектов ГО проводится штатным персоналом и специалистами согласно технологических карт.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18. Планирование и организация проведения технического обслуживания и ремонта технических средств управления и объектов ГО осуществляется инженерным персоналом или должностным лицом, назначенным начальником (руководителем) организации на балансе, которой находится средства управления. </w:t>
      </w: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19. Виды, периодичность и объем работ по техническому обслуживанию и ремонту средств управления и объектов ГО устанавливаются соответствующими руководящими и эксплуатационными документами. </w:t>
      </w:r>
    </w:p>
    <w:p w:rsidR="006E42BA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20. Профилактические и ремонтные работы средств управления объектов ГО проводятся согласно Плана – графика организаций, на балансе которых находятся средства управления. </w:t>
      </w:r>
    </w:p>
    <w:p w:rsidR="007915C1" w:rsidRPr="00CF13E4" w:rsidRDefault="007915C1" w:rsidP="00CF13E4">
      <w:pPr>
        <w:rPr>
          <w:rFonts w:cs="Arial"/>
        </w:rPr>
      </w:pPr>
    </w:p>
    <w:p w:rsidR="000F066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>Начальник отдела по делам ГОЧС и</w:t>
      </w:r>
    </w:p>
    <w:p w:rsidR="007915C1" w:rsidRDefault="000F066A" w:rsidP="00CF13E4">
      <w:pPr>
        <w:rPr>
          <w:rFonts w:cs="Arial"/>
        </w:rPr>
      </w:pPr>
      <w:r w:rsidRPr="00CF13E4">
        <w:rPr>
          <w:rFonts w:cs="Arial"/>
        </w:rPr>
        <w:t xml:space="preserve"> безопасности администрации района</w:t>
      </w:r>
    </w:p>
    <w:p w:rsidR="006E42BA" w:rsidRPr="00CF13E4" w:rsidRDefault="000F066A" w:rsidP="00CF13E4">
      <w:pPr>
        <w:rPr>
          <w:rFonts w:cs="Arial"/>
        </w:rPr>
      </w:pPr>
      <w:r w:rsidRPr="00CF13E4">
        <w:rPr>
          <w:rFonts w:cs="Arial"/>
        </w:rPr>
        <w:t>П.М. Чебокчино</w:t>
      </w:r>
      <w:r w:rsidR="006E42BA" w:rsidRPr="00CF13E4">
        <w:rPr>
          <w:rFonts w:cs="Arial"/>
        </w:rPr>
        <w:t>в</w:t>
      </w:r>
    </w:p>
    <w:sectPr w:rsidR="006E42BA" w:rsidRPr="00CF13E4" w:rsidSect="00CF13E4">
      <w:type w:val="continuous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4525"/>
    <w:multiLevelType w:val="hybridMultilevel"/>
    <w:tmpl w:val="794CFDAC"/>
    <w:lvl w:ilvl="0" w:tplc="85D011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6A"/>
    <w:rsid w:val="000F066A"/>
    <w:rsid w:val="001A63FC"/>
    <w:rsid w:val="001D04BB"/>
    <w:rsid w:val="001D4D19"/>
    <w:rsid w:val="00245C18"/>
    <w:rsid w:val="005203B0"/>
    <w:rsid w:val="00566A33"/>
    <w:rsid w:val="005E0CFC"/>
    <w:rsid w:val="006E42BA"/>
    <w:rsid w:val="007915C1"/>
    <w:rsid w:val="008C74E5"/>
    <w:rsid w:val="00B8795E"/>
    <w:rsid w:val="00C05683"/>
    <w:rsid w:val="00CF13E4"/>
    <w:rsid w:val="00E03673"/>
    <w:rsid w:val="00E77661"/>
    <w:rsid w:val="00F66104"/>
    <w:rsid w:val="00F85D4B"/>
    <w:rsid w:val="00FC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8795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8795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795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795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8795E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0F066A"/>
    <w:pPr>
      <w:keepNext/>
      <w:outlineLvl w:val="4"/>
    </w:pPr>
    <w:rPr>
      <w:sz w:val="28"/>
    </w:rPr>
  </w:style>
  <w:style w:type="character" w:default="1" w:styleId="a0">
    <w:name w:val="Default Paragraph Font"/>
    <w:semiHidden/>
    <w:rsid w:val="00B8795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8795E"/>
  </w:style>
  <w:style w:type="paragraph" w:styleId="a3">
    <w:name w:val="caption"/>
    <w:basedOn w:val="a"/>
    <w:qFormat/>
    <w:rsid w:val="000F066A"/>
    <w:pPr>
      <w:spacing w:before="240"/>
      <w:jc w:val="center"/>
    </w:pPr>
    <w:rPr>
      <w:sz w:val="28"/>
    </w:rPr>
  </w:style>
  <w:style w:type="paragraph" w:styleId="a4">
    <w:name w:val="Body Text Indent"/>
    <w:basedOn w:val="a"/>
    <w:rsid w:val="000F066A"/>
    <w:pPr>
      <w:ind w:left="709"/>
    </w:pPr>
  </w:style>
  <w:style w:type="paragraph" w:styleId="a5">
    <w:name w:val="Subtitle"/>
    <w:basedOn w:val="a"/>
    <w:qFormat/>
    <w:rsid w:val="000F066A"/>
    <w:pPr>
      <w:jc w:val="center"/>
    </w:pPr>
    <w:rPr>
      <w:b/>
    </w:rPr>
  </w:style>
  <w:style w:type="paragraph" w:customStyle="1" w:styleId="11">
    <w:name w:val="Знак Знак Знак Знак1"/>
    <w:basedOn w:val="a"/>
    <w:rsid w:val="000F066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F13E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F13E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F13E4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B8795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B8795E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CF13E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795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B8795E"/>
    <w:rPr>
      <w:color w:val="0000FF"/>
      <w:u w:val="none"/>
    </w:rPr>
  </w:style>
  <w:style w:type="paragraph" w:customStyle="1" w:styleId="Application">
    <w:name w:val="Application!Приложение"/>
    <w:rsid w:val="00B8795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795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795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8795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8795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8795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8795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795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795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8795E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0F066A"/>
    <w:pPr>
      <w:keepNext/>
      <w:outlineLvl w:val="4"/>
    </w:pPr>
    <w:rPr>
      <w:sz w:val="28"/>
    </w:rPr>
  </w:style>
  <w:style w:type="character" w:default="1" w:styleId="a0">
    <w:name w:val="Default Paragraph Font"/>
    <w:semiHidden/>
    <w:rsid w:val="00B8795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8795E"/>
  </w:style>
  <w:style w:type="paragraph" w:styleId="a3">
    <w:name w:val="caption"/>
    <w:basedOn w:val="a"/>
    <w:qFormat/>
    <w:rsid w:val="000F066A"/>
    <w:pPr>
      <w:spacing w:before="240"/>
      <w:jc w:val="center"/>
    </w:pPr>
    <w:rPr>
      <w:sz w:val="28"/>
    </w:rPr>
  </w:style>
  <w:style w:type="paragraph" w:styleId="a4">
    <w:name w:val="Body Text Indent"/>
    <w:basedOn w:val="a"/>
    <w:rsid w:val="000F066A"/>
    <w:pPr>
      <w:ind w:left="709"/>
    </w:pPr>
  </w:style>
  <w:style w:type="paragraph" w:styleId="a5">
    <w:name w:val="Subtitle"/>
    <w:basedOn w:val="a"/>
    <w:qFormat/>
    <w:rsid w:val="000F066A"/>
    <w:pPr>
      <w:jc w:val="center"/>
    </w:pPr>
    <w:rPr>
      <w:b/>
    </w:rPr>
  </w:style>
  <w:style w:type="paragraph" w:customStyle="1" w:styleId="11">
    <w:name w:val="Знак Знак Знак Знак1"/>
    <w:basedOn w:val="a"/>
    <w:rsid w:val="000F066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F13E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F13E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F13E4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B8795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B8795E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CF13E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795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B8795E"/>
    <w:rPr>
      <w:color w:val="0000FF"/>
      <w:u w:val="none"/>
    </w:rPr>
  </w:style>
  <w:style w:type="paragraph" w:customStyle="1" w:styleId="Application">
    <w:name w:val="Application!Приложение"/>
    <w:rsid w:val="00B8795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795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795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8795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8795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8049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2018-09-07T01:45:00Z</dcterms:created>
  <dcterms:modified xsi:type="dcterms:W3CDTF">2018-09-07T01:45:00Z</dcterms:modified>
</cp:coreProperties>
</file>