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B8" w:rsidRPr="00962F74" w:rsidRDefault="00962F74" w:rsidP="00962F74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62F74">
        <w:rPr>
          <w:rFonts w:cs="Arial"/>
          <w:b/>
          <w:bCs/>
          <w:kern w:val="28"/>
          <w:sz w:val="32"/>
          <w:szCs w:val="32"/>
        </w:rPr>
        <w:t>П</w:t>
      </w:r>
      <w:r w:rsidR="00C43F41" w:rsidRPr="00962F74">
        <w:rPr>
          <w:rFonts w:cs="Arial"/>
          <w:b/>
          <w:bCs/>
          <w:kern w:val="28"/>
          <w:sz w:val="32"/>
          <w:szCs w:val="32"/>
        </w:rPr>
        <w:t>р</w:t>
      </w:r>
      <w:r w:rsidR="004909B8" w:rsidRPr="00962F74">
        <w:rPr>
          <w:rFonts w:cs="Arial"/>
          <w:b/>
          <w:bCs/>
          <w:kern w:val="28"/>
          <w:sz w:val="32"/>
          <w:szCs w:val="32"/>
        </w:rPr>
        <w:t>иложение</w:t>
      </w:r>
    </w:p>
    <w:p w:rsidR="004909B8" w:rsidRPr="00962F74" w:rsidRDefault="004909B8" w:rsidP="00962F74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62F7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909B8" w:rsidRPr="00962F74" w:rsidRDefault="004909B8" w:rsidP="00962F74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62F7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909B8" w:rsidRPr="00962F74" w:rsidRDefault="00962F74" w:rsidP="00962F74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62F74">
        <w:rPr>
          <w:rFonts w:cs="Arial"/>
          <w:b/>
          <w:bCs/>
          <w:kern w:val="28"/>
          <w:sz w:val="32"/>
          <w:szCs w:val="32"/>
        </w:rPr>
        <w:t>О</w:t>
      </w:r>
      <w:r w:rsidR="004909B8" w:rsidRPr="00962F74">
        <w:rPr>
          <w:rFonts w:cs="Arial"/>
          <w:b/>
          <w:bCs/>
          <w:kern w:val="28"/>
          <w:sz w:val="32"/>
          <w:szCs w:val="32"/>
        </w:rPr>
        <w:t>т</w:t>
      </w:r>
      <w:r w:rsidRPr="00962F74">
        <w:rPr>
          <w:rFonts w:cs="Arial"/>
          <w:b/>
          <w:bCs/>
          <w:kern w:val="28"/>
          <w:sz w:val="32"/>
          <w:szCs w:val="32"/>
        </w:rPr>
        <w:t xml:space="preserve"> 09.11.2018г. № 924</w:t>
      </w:r>
    </w:p>
    <w:p w:rsidR="004909B8" w:rsidRPr="00962F74" w:rsidRDefault="004909B8" w:rsidP="00962F74">
      <w:pPr>
        <w:ind w:left="567" w:firstLine="0"/>
      </w:pPr>
    </w:p>
    <w:p w:rsidR="004909B8" w:rsidRPr="00962F74" w:rsidRDefault="004909B8" w:rsidP="00962F74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62F74">
        <w:rPr>
          <w:rFonts w:cs="Arial"/>
          <w:b/>
          <w:bCs/>
          <w:kern w:val="32"/>
          <w:sz w:val="32"/>
          <w:szCs w:val="32"/>
        </w:rPr>
        <w:t>План мероприятий («дорожная карта») по улучшению инвестиционного климата в Крапиви</w:t>
      </w:r>
      <w:r w:rsidR="00962F74" w:rsidRPr="00962F74">
        <w:rPr>
          <w:rFonts w:cs="Arial"/>
          <w:b/>
          <w:bCs/>
          <w:kern w:val="32"/>
          <w:sz w:val="32"/>
          <w:szCs w:val="32"/>
        </w:rPr>
        <w:t>н</w:t>
      </w:r>
      <w:r w:rsidRPr="00962F74">
        <w:rPr>
          <w:rFonts w:cs="Arial"/>
          <w:b/>
          <w:bCs/>
          <w:kern w:val="32"/>
          <w:sz w:val="32"/>
          <w:szCs w:val="32"/>
        </w:rPr>
        <w:t>ском муниципальном районе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356"/>
        <w:gridCol w:w="201"/>
        <w:gridCol w:w="142"/>
        <w:gridCol w:w="1891"/>
        <w:gridCol w:w="93"/>
        <w:gridCol w:w="1418"/>
        <w:gridCol w:w="1284"/>
        <w:gridCol w:w="133"/>
        <w:gridCol w:w="2799"/>
      </w:tblGrid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0"/>
            </w:pPr>
            <w:r w:rsidRPr="00962F74">
              <w:t xml:space="preserve">№ </w:t>
            </w:r>
            <w:proofErr w:type="spellStart"/>
            <w:proofErr w:type="gramStart"/>
            <w:r w:rsidRPr="00962F74">
              <w:t>п</w:t>
            </w:r>
            <w:proofErr w:type="spellEnd"/>
            <w:proofErr w:type="gramEnd"/>
            <w:r w:rsidRPr="00962F74">
              <w:t>/</w:t>
            </w:r>
            <w:proofErr w:type="spellStart"/>
            <w:r w:rsidRPr="00962F74">
              <w:t>п</w:t>
            </w:r>
            <w:proofErr w:type="spellEnd"/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0"/>
            </w:pPr>
            <w:r w:rsidRPr="00962F74">
              <w:t>Наименование мероприятия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0"/>
            </w:pPr>
            <w:r w:rsidRPr="00962F74">
              <w:t>Ключевой показатель эффективности (КПЭ)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0"/>
            </w:pPr>
            <w:r w:rsidRPr="00962F74">
              <w:t>Результат мероприятия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0"/>
            </w:pPr>
            <w:r w:rsidRPr="00962F74">
              <w:t>Срок реализации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0"/>
            </w:pPr>
            <w:r w:rsidRPr="00962F74">
              <w:t>Ответственный исполнитель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1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>2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t>3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4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5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6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>А.1 Эффективность процедур регистрации предприятий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1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>Создание центров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</w:t>
            </w:r>
            <w:r w:rsidRPr="00962F74">
              <w:lastRenderedPageBreak/>
              <w:t>аются организации, предоставляющие указанные услуги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 xml:space="preserve">Одно из окон МФЦ перепрофилировано, </w:t>
            </w:r>
            <w:proofErr w:type="spellStart"/>
            <w:r w:rsidRPr="00962F74">
              <w:t>ориентированно</w:t>
            </w:r>
            <w:proofErr w:type="spellEnd"/>
            <w:r w:rsidRPr="00962F74">
              <w:t xml:space="preserve"> для предоставления государственных, дополнительных (сопутствующих) услуг субъектам малого и среднего предпринимательства.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Развитие предпринимательского сообщества и улучшение его взаимодействия с исполнительными органами государственной власти и органами местного самоуправления. Повышение качества муниципальных услуг, ориентированные на предоставление государственных и муниципальных, дополнительных (сопутству</w:t>
            </w:r>
            <w:r w:rsidRPr="00962F74">
              <w:lastRenderedPageBreak/>
              <w:t>ющих) услуг субъектам малого и среднего предпринимательства – 100%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2018-2019гг.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А.2 Эффективность процедур по выдаче разрешений на строительство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2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Размещение в виде схем, </w:t>
            </w:r>
            <w:proofErr w:type="spellStart"/>
            <w:r w:rsidRPr="00962F74">
              <w:t>инфографики</w:t>
            </w:r>
            <w:proofErr w:type="spellEnd"/>
            <w:r w:rsidRPr="00962F74">
              <w:t xml:space="preserve"> последовательности </w:t>
            </w:r>
            <w:proofErr w:type="gramStart"/>
            <w:r w:rsidRPr="00962F74">
              <w:t>прохождения процедур строительства объекта жилищного строительства</w:t>
            </w:r>
            <w:proofErr w:type="gramEnd"/>
            <w:r w:rsidRPr="00962F74">
              <w:t xml:space="preserve">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t>Информация размещена на официальном сайте администрации Крапивинского муниципального района в разделе «Градостроительство»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Обеспечение доступности информации о получении разрешения на строительство и наглядности удобства восприятия информации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2018г.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Отдел строительства администрации Крапивинского муниципального района, отдел архитектуры и градостроительства администрации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>А.3 Эффективность процедур по регистрации собственности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3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Обеспечение направления органом регистрации прав межведомственных </w:t>
            </w:r>
            <w:r w:rsidRPr="00962F74">
              <w:lastRenderedPageBreak/>
              <w:t>запросов и получения на них ответов о предоставлении сведений из перечня сведений, утвержденного распоряжением Правительства Российской Федерации от 29.06.2012 №1123-р, в электронном виде посредством региональной системы межведомственного электронного взаимодействия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Срок предоставление ответа на межведомственный запрос – не более 2 дней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В случае оперативно полученных сведений на запрос отсутствуют причины возможных приостанов</w:t>
            </w:r>
            <w:r w:rsidRPr="00962F74">
              <w:lastRenderedPageBreak/>
              <w:t>лений регистрации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Сентябрь – декабрь 2018 г., далее – постоянно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</w:t>
            </w:r>
            <w:r w:rsidRPr="00962F74">
              <w:lastRenderedPageBreak/>
              <w:t>района; отдел строительства администрации Крапивинского муниципального района» отдел архитектуры и градостроительства администрации Крапивинского муниципального района; комитет по управлению муниципальным имуществом администрации Крапивинского муниципального района; 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4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Повышение квалификации специалистов многофункционального центра предоставления государственных и </w:t>
            </w:r>
            <w:r w:rsidRPr="00962F74">
              <w:lastRenderedPageBreak/>
              <w:t xml:space="preserve">муниципальных Крапивинского муниципального района 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Обучение специалистов – не менее 5 человек в год.</w:t>
            </w:r>
          </w:p>
          <w:p w:rsidR="004909B8" w:rsidRPr="00962F74" w:rsidRDefault="004909B8" w:rsidP="00962F74">
            <w:pPr>
              <w:pStyle w:val="Table"/>
            </w:pPr>
            <w:r w:rsidRPr="00962F74">
              <w:t>Снижение доли приостановлений до 5,5% и отказов до 0,9%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Повышение качества предоставляемой услуги, повышение уровня оценки деятельности органов, предоставляющих услуги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2018-2019 гг.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А.5 Эффективность процедур по подключению к электроэнергии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5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>Наличие в Крапивинском муниципальном районе актуального топографического плана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t>Сокращение срока подготовки проектно-сметной документации для строительства объектов технологического присоединения до 85 дней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Сокращение сроков подготовки проектно-сметной документации для строительства объектов технологического присоединения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ΙV квартал 2018 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Отдел строительства администрации Крапивинского муниципального района, отдел архитектуры и градостроительства администрации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>В.1 Качество и доступность инфраструктуры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6</w:t>
            </w:r>
          </w:p>
        </w:tc>
        <w:tc>
          <w:tcPr>
            <w:tcW w:w="1356" w:type="dxa"/>
          </w:tcPr>
          <w:p w:rsidR="004909B8" w:rsidRPr="00962F74" w:rsidRDefault="004909B8" w:rsidP="00962F74">
            <w:pPr>
              <w:pStyle w:val="Table"/>
            </w:pPr>
            <w:r w:rsidRPr="00962F74">
              <w:t>Установление «народного контроля» качества автомобильных дорог общего пользования местного назначения на соответствие нормативным требованиям</w:t>
            </w:r>
          </w:p>
        </w:tc>
        <w:tc>
          <w:tcPr>
            <w:tcW w:w="2234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t>Увеличение доли дорог, соответствующих нормативным требованиям, до 55%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Показатели качества и </w:t>
            </w:r>
            <w:proofErr w:type="gramStart"/>
            <w:r w:rsidRPr="00962F74">
              <w:t>состояния</w:t>
            </w:r>
            <w:proofErr w:type="gramEnd"/>
            <w:r w:rsidRPr="00962F74">
              <w:t xml:space="preserve"> автомобильных дорог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2019 год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Отдел по управлению ЖКХ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>Г.3 Эффективность нефинансовой поддержки малого предпринимательства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Г.3.1 Удовлетворенность субъектов малого предпринимательства наличием и доступностью необходимой для ведения бизнеса недвижимости (строений и земельных </w:t>
            </w:r>
            <w:r w:rsidRPr="00962F74">
              <w:lastRenderedPageBreak/>
              <w:t xml:space="preserve">участков) в субъекте Российской Федерации 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7</w:t>
            </w:r>
          </w:p>
        </w:tc>
        <w:tc>
          <w:tcPr>
            <w:tcW w:w="1557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Размещение информационных стендов в помещениях исполнительных органов государственной власти Крапивинского муниципального района о получении государственных услуг, порядке оформления земельных участков и объектов капитального строительства</w:t>
            </w:r>
          </w:p>
        </w:tc>
        <w:tc>
          <w:tcPr>
            <w:tcW w:w="2033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Стенд размещен в КУМИ Крапивинского муниципального района по оформлению земельных участков и субъектов капитального строительства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Повышение качества предоставляемой услуги, повышение уровня оценки деятельности органов, предоставляющих государственные и муниципальные услуги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Август-декабрь 2018 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8</w:t>
            </w:r>
          </w:p>
        </w:tc>
        <w:tc>
          <w:tcPr>
            <w:tcW w:w="1557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Размещение на официальном сайте в сети «Интернет» администрации Крапивинского муниципального района информации об объектах, находящихся в государств</w:t>
            </w:r>
            <w:r w:rsidRPr="00962F74">
              <w:lastRenderedPageBreak/>
              <w:t>енной и муниципальной собственности, банков площадок земельных участков</w:t>
            </w:r>
          </w:p>
        </w:tc>
        <w:tc>
          <w:tcPr>
            <w:tcW w:w="2033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Информация об объектах, находящихся в государственной и муниципальной собственности, земельных участках размещена на официальном сайте в сети «Интернет» администрации Крапивинского муниципального района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Повышение качества предоставляемой услуги, повышение уровня оценки деятельности органов, предоставляющих услуги 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Декабрь 2018 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9</w:t>
            </w:r>
          </w:p>
        </w:tc>
        <w:tc>
          <w:tcPr>
            <w:tcW w:w="1557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Реализация на территории Крапивинского муниципального района механизмов предоставления государственных и муниципальных преференций в соответствии с Федеральным законом от 26.07.2006 №135-ФЗ «О защите конкуренции» - утверждение </w:t>
            </w:r>
            <w:proofErr w:type="gramStart"/>
            <w:r w:rsidRPr="00962F74">
              <w:t>порядка рассмотрения общений субъектов предпринимательской деятельности</w:t>
            </w:r>
            <w:proofErr w:type="gramEnd"/>
            <w:r w:rsidRPr="00962F74">
              <w:t xml:space="preserve"> о предоставлении государственных, муниципальных преференц</w:t>
            </w:r>
            <w:r w:rsidRPr="00962F74">
              <w:lastRenderedPageBreak/>
              <w:t>ий</w:t>
            </w:r>
          </w:p>
        </w:tc>
        <w:tc>
          <w:tcPr>
            <w:tcW w:w="2033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Предоставление имущественной поддержки субъектам МСП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Имущественная поддержка субъектов МСП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2018-2019 гг.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10</w:t>
            </w:r>
          </w:p>
        </w:tc>
        <w:tc>
          <w:tcPr>
            <w:tcW w:w="1557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Размещение на официальном сайте в сети «Интернет» администрации Крапивинского муниципального района вносимых изменений в нормативные правовые акты и регламенты работы государственных органов, связанные с оказанием государственных услуг по оформлению земельных участков и объектов капитального строительства</w:t>
            </w:r>
          </w:p>
        </w:tc>
        <w:tc>
          <w:tcPr>
            <w:tcW w:w="2033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Информация о вносимых изменениях размещена не позднее 5 рабочих дней с даты их утверждения</w:t>
            </w:r>
          </w:p>
        </w:tc>
        <w:tc>
          <w:tcPr>
            <w:tcW w:w="1511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Повышение информированности предпринимателей о предоставляемых государственных услугах</w:t>
            </w:r>
          </w:p>
        </w:tc>
        <w:tc>
          <w:tcPr>
            <w:tcW w:w="1284" w:type="dxa"/>
          </w:tcPr>
          <w:p w:rsidR="004909B8" w:rsidRPr="00962F74" w:rsidRDefault="004909B8" w:rsidP="00962F74">
            <w:pPr>
              <w:pStyle w:val="Table"/>
            </w:pPr>
            <w:r w:rsidRPr="00962F74">
              <w:t>Сентябрь – декабрь 2018 г., далее постоянно</w:t>
            </w:r>
          </w:p>
        </w:tc>
        <w:tc>
          <w:tcPr>
            <w:tcW w:w="2932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909B8" w:rsidRPr="00962F74" w:rsidTr="00962F74">
        <w:trPr>
          <w:gridAfter w:val="3"/>
          <w:wAfter w:w="4216" w:type="dxa"/>
          <w:jc w:val="center"/>
        </w:trPr>
        <w:tc>
          <w:tcPr>
            <w:tcW w:w="5637" w:type="dxa"/>
            <w:gridSpan w:val="7"/>
          </w:tcPr>
          <w:p w:rsidR="004909B8" w:rsidRPr="00962F74" w:rsidRDefault="004909B8" w:rsidP="00962F74">
            <w:pPr>
              <w:pStyle w:val="Table"/>
            </w:pPr>
            <w:r w:rsidRPr="00962F74">
              <w:t>Г.3.3 Удовлетворенность процедурами получения арендных площадей, предоставляемых регионом субъектам малого бизнеса</w:t>
            </w:r>
          </w:p>
        </w:tc>
      </w:tr>
      <w:tr w:rsidR="004909B8" w:rsidRPr="00962F74" w:rsidTr="00962F74">
        <w:trPr>
          <w:jc w:val="center"/>
        </w:trPr>
        <w:tc>
          <w:tcPr>
            <w:tcW w:w="536" w:type="dxa"/>
          </w:tcPr>
          <w:p w:rsidR="004909B8" w:rsidRPr="00962F74" w:rsidRDefault="004909B8" w:rsidP="00962F74">
            <w:pPr>
              <w:pStyle w:val="Table"/>
            </w:pPr>
            <w:r w:rsidRPr="00962F74">
              <w:t>11</w:t>
            </w:r>
          </w:p>
        </w:tc>
        <w:tc>
          <w:tcPr>
            <w:tcW w:w="1699" w:type="dxa"/>
            <w:gridSpan w:val="3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Разработка проектов нормативных правовых актов, предусматривающих </w:t>
            </w:r>
            <w:r w:rsidRPr="00962F74">
              <w:lastRenderedPageBreak/>
              <w:t>установление оснований одностороннего расторжения договоров аренды государственного, муниципального имущества с учетом отраслевой специфики предприятий</w:t>
            </w:r>
          </w:p>
        </w:tc>
        <w:tc>
          <w:tcPr>
            <w:tcW w:w="1984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Установление оснований одностороннего расторжения договоров аренды государственно</w:t>
            </w:r>
            <w:r w:rsidRPr="00962F74">
              <w:lastRenderedPageBreak/>
              <w:t>го, муниципального имущества, исключающих необоснованный односторонний отказ от договора аренды государственного, муниципального имущества</w:t>
            </w:r>
          </w:p>
        </w:tc>
        <w:tc>
          <w:tcPr>
            <w:tcW w:w="1418" w:type="dxa"/>
          </w:tcPr>
          <w:p w:rsidR="004909B8" w:rsidRPr="00962F74" w:rsidRDefault="004909B8" w:rsidP="00962F74">
            <w:pPr>
              <w:pStyle w:val="Table"/>
            </w:pPr>
            <w:r w:rsidRPr="00962F74">
              <w:lastRenderedPageBreak/>
              <w:t>Повышение защищенности субъектов МСП</w:t>
            </w:r>
          </w:p>
        </w:tc>
        <w:tc>
          <w:tcPr>
            <w:tcW w:w="1417" w:type="dxa"/>
            <w:gridSpan w:val="2"/>
          </w:tcPr>
          <w:p w:rsidR="004909B8" w:rsidRPr="00962F74" w:rsidRDefault="004909B8" w:rsidP="00962F74">
            <w:pPr>
              <w:pStyle w:val="Table"/>
            </w:pPr>
            <w:r w:rsidRPr="00962F74">
              <w:t>2018-2019 гг.</w:t>
            </w:r>
          </w:p>
        </w:tc>
        <w:tc>
          <w:tcPr>
            <w:tcW w:w="2799" w:type="dxa"/>
          </w:tcPr>
          <w:p w:rsidR="004909B8" w:rsidRPr="00962F74" w:rsidRDefault="004909B8" w:rsidP="00962F74">
            <w:pPr>
              <w:pStyle w:val="Table"/>
            </w:pPr>
            <w:r w:rsidRPr="00962F74">
              <w:t xml:space="preserve">Комитет по управлению муниципальным имуществом администрации Крапивинского муниципального </w:t>
            </w:r>
            <w:r w:rsidRPr="00962F74">
              <w:lastRenderedPageBreak/>
              <w:t>района</w:t>
            </w:r>
          </w:p>
        </w:tc>
      </w:tr>
    </w:tbl>
    <w:p w:rsidR="004909B8" w:rsidRPr="00962F74" w:rsidRDefault="004909B8" w:rsidP="00962F74">
      <w:pPr>
        <w:ind w:left="567" w:firstLine="0"/>
        <w:sectPr w:rsidR="004909B8" w:rsidRPr="00962F74" w:rsidSect="00962F7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09B8" w:rsidRPr="00962F74" w:rsidRDefault="004909B8" w:rsidP="00962F74">
      <w:pPr>
        <w:ind w:left="567" w:firstLine="0"/>
      </w:pPr>
    </w:p>
    <w:sectPr w:rsidR="004909B8" w:rsidRPr="00962F74" w:rsidSect="00962F74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6BF"/>
    <w:multiLevelType w:val="hybridMultilevel"/>
    <w:tmpl w:val="8AB0ED32"/>
    <w:lvl w:ilvl="0" w:tplc="41E0AC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9"/>
  <w:doNotHyphenateCaps/>
  <w:characterSpacingControl w:val="doNotCompress"/>
  <w:doNotValidateAgainstSchema/>
  <w:doNotDemarcateInvalidXml/>
  <w:compat/>
  <w:rsids>
    <w:rsidRoot w:val="007B6552"/>
    <w:rsid w:val="00000743"/>
    <w:rsid w:val="00001A99"/>
    <w:rsid w:val="00013629"/>
    <w:rsid w:val="000178DA"/>
    <w:rsid w:val="0004430E"/>
    <w:rsid w:val="00044EC5"/>
    <w:rsid w:val="00047F70"/>
    <w:rsid w:val="00051C9E"/>
    <w:rsid w:val="000546C7"/>
    <w:rsid w:val="00061586"/>
    <w:rsid w:val="00061CE0"/>
    <w:rsid w:val="00067961"/>
    <w:rsid w:val="00072FC7"/>
    <w:rsid w:val="00085C27"/>
    <w:rsid w:val="000937D7"/>
    <w:rsid w:val="00096AE6"/>
    <w:rsid w:val="000B2743"/>
    <w:rsid w:val="000B389E"/>
    <w:rsid w:val="000B6094"/>
    <w:rsid w:val="000D4BB7"/>
    <w:rsid w:val="000E0181"/>
    <w:rsid w:val="00102DBB"/>
    <w:rsid w:val="00116142"/>
    <w:rsid w:val="0012764B"/>
    <w:rsid w:val="001518BD"/>
    <w:rsid w:val="00157DB0"/>
    <w:rsid w:val="0016682D"/>
    <w:rsid w:val="00167B18"/>
    <w:rsid w:val="00167C45"/>
    <w:rsid w:val="001A33B4"/>
    <w:rsid w:val="001D4323"/>
    <w:rsid w:val="001E147B"/>
    <w:rsid w:val="001E2C6F"/>
    <w:rsid w:val="00202F99"/>
    <w:rsid w:val="00210033"/>
    <w:rsid w:val="00220CEF"/>
    <w:rsid w:val="0024056F"/>
    <w:rsid w:val="00262B85"/>
    <w:rsid w:val="00281D58"/>
    <w:rsid w:val="00293AAD"/>
    <w:rsid w:val="002B368E"/>
    <w:rsid w:val="002B3F26"/>
    <w:rsid w:val="002D00A8"/>
    <w:rsid w:val="002D0278"/>
    <w:rsid w:val="002D122D"/>
    <w:rsid w:val="002E0752"/>
    <w:rsid w:val="002E40E0"/>
    <w:rsid w:val="002E6A7D"/>
    <w:rsid w:val="00303AC1"/>
    <w:rsid w:val="00304012"/>
    <w:rsid w:val="003204A8"/>
    <w:rsid w:val="00333C80"/>
    <w:rsid w:val="00335D29"/>
    <w:rsid w:val="003535A2"/>
    <w:rsid w:val="00355511"/>
    <w:rsid w:val="00357C8E"/>
    <w:rsid w:val="00366A03"/>
    <w:rsid w:val="003760D9"/>
    <w:rsid w:val="003809A5"/>
    <w:rsid w:val="00384641"/>
    <w:rsid w:val="00386CF8"/>
    <w:rsid w:val="003A2045"/>
    <w:rsid w:val="003C2176"/>
    <w:rsid w:val="003C570D"/>
    <w:rsid w:val="003C59FC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494F"/>
    <w:rsid w:val="00425B2D"/>
    <w:rsid w:val="0043641C"/>
    <w:rsid w:val="00445636"/>
    <w:rsid w:val="00452C63"/>
    <w:rsid w:val="00460EE4"/>
    <w:rsid w:val="00477DAE"/>
    <w:rsid w:val="004909B8"/>
    <w:rsid w:val="00491208"/>
    <w:rsid w:val="00494FC3"/>
    <w:rsid w:val="004A162F"/>
    <w:rsid w:val="004A5E22"/>
    <w:rsid w:val="004B42F1"/>
    <w:rsid w:val="004B7E38"/>
    <w:rsid w:val="004C3109"/>
    <w:rsid w:val="004C5A98"/>
    <w:rsid w:val="004C612A"/>
    <w:rsid w:val="004E0B25"/>
    <w:rsid w:val="00500B6D"/>
    <w:rsid w:val="0050102C"/>
    <w:rsid w:val="00513B4B"/>
    <w:rsid w:val="00514C2F"/>
    <w:rsid w:val="005344B5"/>
    <w:rsid w:val="005450FB"/>
    <w:rsid w:val="005514CF"/>
    <w:rsid w:val="0056653A"/>
    <w:rsid w:val="005809D5"/>
    <w:rsid w:val="005834C5"/>
    <w:rsid w:val="005A6F30"/>
    <w:rsid w:val="005B4C71"/>
    <w:rsid w:val="005C2EB7"/>
    <w:rsid w:val="005C47A1"/>
    <w:rsid w:val="005C701C"/>
    <w:rsid w:val="005D261F"/>
    <w:rsid w:val="005E7064"/>
    <w:rsid w:val="00616D10"/>
    <w:rsid w:val="00622B59"/>
    <w:rsid w:val="00624969"/>
    <w:rsid w:val="0062543A"/>
    <w:rsid w:val="006371BE"/>
    <w:rsid w:val="00643253"/>
    <w:rsid w:val="0064773F"/>
    <w:rsid w:val="00654260"/>
    <w:rsid w:val="006701EF"/>
    <w:rsid w:val="006706E7"/>
    <w:rsid w:val="00685D36"/>
    <w:rsid w:val="00685E98"/>
    <w:rsid w:val="00690479"/>
    <w:rsid w:val="00696984"/>
    <w:rsid w:val="006A1810"/>
    <w:rsid w:val="006A3291"/>
    <w:rsid w:val="006A3B1F"/>
    <w:rsid w:val="006C0F70"/>
    <w:rsid w:val="006C3D94"/>
    <w:rsid w:val="006E56E0"/>
    <w:rsid w:val="0070465C"/>
    <w:rsid w:val="007059BD"/>
    <w:rsid w:val="00710961"/>
    <w:rsid w:val="007571AB"/>
    <w:rsid w:val="00760EA5"/>
    <w:rsid w:val="0076713C"/>
    <w:rsid w:val="00775955"/>
    <w:rsid w:val="00797DB4"/>
    <w:rsid w:val="007A44A5"/>
    <w:rsid w:val="007B6552"/>
    <w:rsid w:val="007E3251"/>
    <w:rsid w:val="007E4F0A"/>
    <w:rsid w:val="007E7444"/>
    <w:rsid w:val="007F31F1"/>
    <w:rsid w:val="008030F8"/>
    <w:rsid w:val="00804DF9"/>
    <w:rsid w:val="00820382"/>
    <w:rsid w:val="00820682"/>
    <w:rsid w:val="00820D09"/>
    <w:rsid w:val="00830D95"/>
    <w:rsid w:val="00837687"/>
    <w:rsid w:val="00850668"/>
    <w:rsid w:val="00850842"/>
    <w:rsid w:val="008509A2"/>
    <w:rsid w:val="00851F45"/>
    <w:rsid w:val="00853BE9"/>
    <w:rsid w:val="00864D54"/>
    <w:rsid w:val="00870C5B"/>
    <w:rsid w:val="00871511"/>
    <w:rsid w:val="008718C7"/>
    <w:rsid w:val="00885FAD"/>
    <w:rsid w:val="008870DA"/>
    <w:rsid w:val="00887FF7"/>
    <w:rsid w:val="0089533C"/>
    <w:rsid w:val="008B16A9"/>
    <w:rsid w:val="008B3495"/>
    <w:rsid w:val="008B3EE1"/>
    <w:rsid w:val="008B5661"/>
    <w:rsid w:val="008C2719"/>
    <w:rsid w:val="008C78CB"/>
    <w:rsid w:val="008D0531"/>
    <w:rsid w:val="008D1FAB"/>
    <w:rsid w:val="008F0C43"/>
    <w:rsid w:val="008F0C57"/>
    <w:rsid w:val="00900845"/>
    <w:rsid w:val="00906453"/>
    <w:rsid w:val="00915805"/>
    <w:rsid w:val="0092005C"/>
    <w:rsid w:val="00933F0D"/>
    <w:rsid w:val="00941A05"/>
    <w:rsid w:val="00954459"/>
    <w:rsid w:val="009616C4"/>
    <w:rsid w:val="00962F74"/>
    <w:rsid w:val="00971CEE"/>
    <w:rsid w:val="009823F0"/>
    <w:rsid w:val="009A29EC"/>
    <w:rsid w:val="009A2DEF"/>
    <w:rsid w:val="009B233A"/>
    <w:rsid w:val="009C57C1"/>
    <w:rsid w:val="009C7022"/>
    <w:rsid w:val="009E34E5"/>
    <w:rsid w:val="00A10F08"/>
    <w:rsid w:val="00A13F34"/>
    <w:rsid w:val="00A1759B"/>
    <w:rsid w:val="00A2223B"/>
    <w:rsid w:val="00A327AE"/>
    <w:rsid w:val="00A368ED"/>
    <w:rsid w:val="00A37510"/>
    <w:rsid w:val="00A50A96"/>
    <w:rsid w:val="00A57AFB"/>
    <w:rsid w:val="00A66866"/>
    <w:rsid w:val="00A67189"/>
    <w:rsid w:val="00A80EE5"/>
    <w:rsid w:val="00A95239"/>
    <w:rsid w:val="00A9663E"/>
    <w:rsid w:val="00AB03DB"/>
    <w:rsid w:val="00AB2308"/>
    <w:rsid w:val="00AC1C13"/>
    <w:rsid w:val="00AC7FCB"/>
    <w:rsid w:val="00AD4572"/>
    <w:rsid w:val="00AE50F3"/>
    <w:rsid w:val="00AF37FA"/>
    <w:rsid w:val="00B06C0A"/>
    <w:rsid w:val="00B17C7B"/>
    <w:rsid w:val="00B2282E"/>
    <w:rsid w:val="00B3330B"/>
    <w:rsid w:val="00B36534"/>
    <w:rsid w:val="00B36ED8"/>
    <w:rsid w:val="00B37CD7"/>
    <w:rsid w:val="00B413A0"/>
    <w:rsid w:val="00B47B19"/>
    <w:rsid w:val="00B56B71"/>
    <w:rsid w:val="00B611EC"/>
    <w:rsid w:val="00B70ABC"/>
    <w:rsid w:val="00B82B1C"/>
    <w:rsid w:val="00B84496"/>
    <w:rsid w:val="00B929D4"/>
    <w:rsid w:val="00BA4F46"/>
    <w:rsid w:val="00BA52D9"/>
    <w:rsid w:val="00BD052B"/>
    <w:rsid w:val="00BE0E14"/>
    <w:rsid w:val="00BE50ED"/>
    <w:rsid w:val="00BE7D18"/>
    <w:rsid w:val="00BF5F3A"/>
    <w:rsid w:val="00C03C1A"/>
    <w:rsid w:val="00C07459"/>
    <w:rsid w:val="00C15268"/>
    <w:rsid w:val="00C26FCE"/>
    <w:rsid w:val="00C40D15"/>
    <w:rsid w:val="00C43F41"/>
    <w:rsid w:val="00C54DEF"/>
    <w:rsid w:val="00C601AF"/>
    <w:rsid w:val="00C74979"/>
    <w:rsid w:val="00C74BD1"/>
    <w:rsid w:val="00C75F11"/>
    <w:rsid w:val="00C77FBC"/>
    <w:rsid w:val="00C921ED"/>
    <w:rsid w:val="00CA48F2"/>
    <w:rsid w:val="00CB016F"/>
    <w:rsid w:val="00CB1691"/>
    <w:rsid w:val="00CB28A8"/>
    <w:rsid w:val="00CC1FF5"/>
    <w:rsid w:val="00CC7C93"/>
    <w:rsid w:val="00CD6376"/>
    <w:rsid w:val="00CD7088"/>
    <w:rsid w:val="00CE0CB9"/>
    <w:rsid w:val="00CE1B55"/>
    <w:rsid w:val="00CE7DA3"/>
    <w:rsid w:val="00CF0217"/>
    <w:rsid w:val="00CF68FF"/>
    <w:rsid w:val="00D009FF"/>
    <w:rsid w:val="00D0123C"/>
    <w:rsid w:val="00D048E4"/>
    <w:rsid w:val="00D0750B"/>
    <w:rsid w:val="00D226EA"/>
    <w:rsid w:val="00D47395"/>
    <w:rsid w:val="00D6023B"/>
    <w:rsid w:val="00D603AF"/>
    <w:rsid w:val="00D62908"/>
    <w:rsid w:val="00D8310E"/>
    <w:rsid w:val="00D86724"/>
    <w:rsid w:val="00D93206"/>
    <w:rsid w:val="00D97007"/>
    <w:rsid w:val="00D97F19"/>
    <w:rsid w:val="00DA5DBF"/>
    <w:rsid w:val="00DB2233"/>
    <w:rsid w:val="00DC470D"/>
    <w:rsid w:val="00DD31D7"/>
    <w:rsid w:val="00DD7A91"/>
    <w:rsid w:val="00DE59BC"/>
    <w:rsid w:val="00DF1027"/>
    <w:rsid w:val="00DF59A0"/>
    <w:rsid w:val="00E00F1B"/>
    <w:rsid w:val="00E060A8"/>
    <w:rsid w:val="00E11135"/>
    <w:rsid w:val="00E14461"/>
    <w:rsid w:val="00E23289"/>
    <w:rsid w:val="00E33F73"/>
    <w:rsid w:val="00E40768"/>
    <w:rsid w:val="00E63DCD"/>
    <w:rsid w:val="00E773BD"/>
    <w:rsid w:val="00E81778"/>
    <w:rsid w:val="00E81C01"/>
    <w:rsid w:val="00E86199"/>
    <w:rsid w:val="00EC26A7"/>
    <w:rsid w:val="00EC2D46"/>
    <w:rsid w:val="00ED1D3D"/>
    <w:rsid w:val="00EE47E7"/>
    <w:rsid w:val="00EE4E80"/>
    <w:rsid w:val="00EF17C1"/>
    <w:rsid w:val="00F0307B"/>
    <w:rsid w:val="00F03A4E"/>
    <w:rsid w:val="00F23238"/>
    <w:rsid w:val="00F35A52"/>
    <w:rsid w:val="00F3630B"/>
    <w:rsid w:val="00F41F43"/>
    <w:rsid w:val="00F42128"/>
    <w:rsid w:val="00F44CAA"/>
    <w:rsid w:val="00F644FD"/>
    <w:rsid w:val="00F65812"/>
    <w:rsid w:val="00F736BA"/>
    <w:rsid w:val="00F74674"/>
    <w:rsid w:val="00F85922"/>
    <w:rsid w:val="00F92115"/>
    <w:rsid w:val="00FA1EA1"/>
    <w:rsid w:val="00FA2C5A"/>
    <w:rsid w:val="00FA3531"/>
    <w:rsid w:val="00FB7B0A"/>
    <w:rsid w:val="00FC020D"/>
    <w:rsid w:val="00FC319D"/>
    <w:rsid w:val="00FC5215"/>
    <w:rsid w:val="00FD703D"/>
    <w:rsid w:val="00FD7DEF"/>
    <w:rsid w:val="00FF5320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6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054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54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54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54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 Знак3 Знак"/>
    <w:basedOn w:val="a"/>
    <w:uiPriority w:val="99"/>
    <w:locked/>
    <w:rsid w:val="00CB28A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">
    <w:name w:val="Table!Таблица"/>
    <w:rsid w:val="000546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6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62F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2F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62F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62F7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4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546C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62F7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054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546C7"/>
    <w:rPr>
      <w:color w:val="0000FF"/>
      <w:u w:val="none"/>
    </w:rPr>
  </w:style>
  <w:style w:type="paragraph" w:customStyle="1" w:styleId="Application">
    <w:name w:val="Application!Приложение"/>
    <w:rsid w:val="000546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0546C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46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6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054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54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54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54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46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46C7"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 Знак3 Знак"/>
    <w:basedOn w:val="a"/>
    <w:uiPriority w:val="99"/>
    <w:locked/>
    <w:rsid w:val="00CB28A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">
    <w:name w:val="Table!Таблица"/>
    <w:rsid w:val="000546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6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62F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2F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62F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62F7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4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546C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62F7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054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546C7"/>
    <w:rPr>
      <w:color w:val="0000FF"/>
      <w:u w:val="none"/>
    </w:rPr>
  </w:style>
  <w:style w:type="paragraph" w:customStyle="1" w:styleId="Application">
    <w:name w:val="Application!Приложение"/>
    <w:rsid w:val="000546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0546C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46C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2018-11-08T09:44:00Z</cp:lastPrinted>
  <dcterms:created xsi:type="dcterms:W3CDTF">2018-11-14T07:11:00Z</dcterms:created>
  <dcterms:modified xsi:type="dcterms:W3CDTF">2018-11-14T08:00:00Z</dcterms:modified>
</cp:coreProperties>
</file>