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8" w:left="1416"/>
        <w:jc w:val="right"/>
        <w:rPr>
          <w:sz w:val="28"/>
        </w:rPr>
      </w:pPr>
      <w:r>
        <w:rPr>
          <w:sz w:val="28"/>
        </w:rPr>
        <w:t>Приложение</w:t>
      </w:r>
    </w:p>
    <w:p w14:paraId="04000000">
      <w:pPr>
        <w:ind w:firstLine="0" w:left="709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к постановлению администрации</w:t>
      </w:r>
    </w:p>
    <w:p w14:paraId="05000000">
      <w:pPr>
        <w:ind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Крапивинского муниципального </w:t>
      </w:r>
      <w:r>
        <w:rPr>
          <w:sz w:val="28"/>
        </w:rPr>
        <w:t>округа</w:t>
      </w:r>
    </w:p>
    <w:p w14:paraId="06000000">
      <w:pPr>
        <w:spacing w:before="240"/>
        <w:ind/>
        <w:jc w:val="right"/>
        <w:rPr>
          <w:sz w:val="28"/>
        </w:rPr>
      </w:pPr>
      <w:r>
        <w:rPr>
          <w:sz w:val="28"/>
        </w:rPr>
        <w:t>от ________2024 № _______</w:t>
      </w:r>
    </w:p>
    <w:p w14:paraId="07000000">
      <w:pPr>
        <w:ind/>
        <w:jc w:val="right"/>
        <w:outlineLvl w:val="0"/>
        <w:rPr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Основные направления</w:t>
      </w:r>
      <w:r>
        <w:rPr>
          <w:b w:val="1"/>
          <w:caps w:val="1"/>
          <w:sz w:val="28"/>
        </w:rPr>
        <w:t xml:space="preserve"> </w:t>
      </w:r>
      <w:r>
        <w:rPr>
          <w:b w:val="1"/>
          <w:sz w:val="28"/>
        </w:rPr>
        <w:t>до</w:t>
      </w:r>
      <w:r>
        <w:rPr>
          <w:b w:val="1"/>
          <w:sz w:val="28"/>
        </w:rPr>
        <w:t>лговой политики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Крапивинского</w:t>
      </w:r>
      <w:r>
        <w:rPr>
          <w:b w:val="1"/>
          <w:sz w:val="28"/>
        </w:rPr>
        <w:t xml:space="preserve"> муниципального округа</w:t>
      </w:r>
      <w:r>
        <w:rPr>
          <w:b w:val="1"/>
          <w:sz w:val="28"/>
        </w:rPr>
        <w:t xml:space="preserve">  на 20</w:t>
      </w:r>
      <w:r>
        <w:rPr>
          <w:b w:val="1"/>
          <w:sz w:val="28"/>
        </w:rPr>
        <w:t>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 и на плановый период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и 202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годов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олговой политикой </w:t>
      </w:r>
      <w:r>
        <w:rPr>
          <w:rFonts w:ascii="Times New Roman" w:hAnsi="Times New Roman"/>
          <w:sz w:val="28"/>
        </w:rPr>
        <w:t xml:space="preserve">Крапивинского муниципального округа </w:t>
      </w:r>
      <w:r>
        <w:rPr>
          <w:rFonts w:ascii="Times New Roman" w:hAnsi="Times New Roman"/>
          <w:sz w:val="28"/>
        </w:rPr>
        <w:t>(далее – Долговая политика)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понимается стратегия управления </w:t>
      </w:r>
      <w:r>
        <w:rPr>
          <w:rFonts w:ascii="Times New Roman" w:hAnsi="Times New Roman"/>
          <w:sz w:val="28"/>
        </w:rPr>
        <w:t xml:space="preserve">муниципальными </w:t>
      </w:r>
      <w:r>
        <w:rPr>
          <w:rFonts w:ascii="Times New Roman" w:hAnsi="Times New Roman"/>
          <w:sz w:val="28"/>
        </w:rPr>
        <w:t xml:space="preserve">заимствованиями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направленная на эффективное регулирование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ного долга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поддержание его объема на безопасном уровне, минимизацию стоимости его обслуживания, равномерное распределение во времени платежей, связанных с погашением и обслуживанием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долга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, и снижение влияния долговой нагрузки на бюджет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, а также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поддержани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кредитного рейтинга Крапивинского муниципального округа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 надежного заемщика на финансовом рынке</w:t>
      </w:r>
      <w:r>
        <w:rPr>
          <w:rFonts w:ascii="Times New Roman" w:hAnsi="Times New Roman"/>
          <w:sz w:val="28"/>
        </w:rPr>
        <w:t>.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Долговая политика </w:t>
      </w:r>
      <w:r>
        <w:rPr>
          <w:sz w:val="28"/>
        </w:rPr>
        <w:t>на 202</w:t>
      </w:r>
      <w:r>
        <w:rPr>
          <w:sz w:val="28"/>
        </w:rPr>
        <w:t>4</w:t>
      </w:r>
      <w:r>
        <w:rPr>
          <w:sz w:val="28"/>
        </w:rPr>
        <w:t xml:space="preserve">-2026 </w:t>
      </w:r>
      <w:r>
        <w:rPr>
          <w:sz w:val="28"/>
        </w:rPr>
        <w:t>год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основыв</w:t>
      </w:r>
      <w:r>
        <w:rPr>
          <w:sz w:val="28"/>
        </w:rPr>
        <w:t>ается</w:t>
      </w:r>
      <w:r>
        <w:rPr>
          <w:sz w:val="28"/>
        </w:rPr>
        <w:t xml:space="preserve"> на </w:t>
      </w:r>
      <w:r>
        <w:rPr>
          <w:sz w:val="28"/>
        </w:rPr>
        <w:t xml:space="preserve">данные </w:t>
      </w:r>
      <w:r>
        <w:rPr>
          <w:sz w:val="28"/>
        </w:rPr>
        <w:t>П</w:t>
      </w:r>
      <w:r>
        <w:rPr>
          <w:rStyle w:val="Style_3_ch"/>
          <w:sz w:val="28"/>
        </w:rPr>
        <w:t>рогноз</w:t>
      </w:r>
      <w:r>
        <w:rPr>
          <w:rStyle w:val="Style_3_ch"/>
          <w:sz w:val="28"/>
        </w:rPr>
        <w:t>а</w:t>
      </w:r>
      <w:r>
        <w:rPr>
          <w:rStyle w:val="Style_3_ch"/>
          <w:sz w:val="28"/>
        </w:rPr>
        <w:t xml:space="preserve"> социально-экономического развития Крапивинского муниципального </w:t>
      </w:r>
      <w:r>
        <w:rPr>
          <w:rStyle w:val="Style_3_ch"/>
          <w:sz w:val="28"/>
        </w:rPr>
        <w:t>округа</w:t>
      </w:r>
      <w:r>
        <w:rPr>
          <w:rStyle w:val="Style_3_ch"/>
          <w:sz w:val="28"/>
        </w:rPr>
        <w:t xml:space="preserve"> на 202</w:t>
      </w:r>
      <w:r>
        <w:rPr>
          <w:rStyle w:val="Style_3_ch"/>
          <w:sz w:val="28"/>
        </w:rPr>
        <w:t>4</w:t>
      </w:r>
      <w:r>
        <w:rPr>
          <w:rStyle w:val="Style_3_ch"/>
          <w:sz w:val="28"/>
        </w:rPr>
        <w:t xml:space="preserve"> год и плановый период до 202</w:t>
      </w:r>
      <w:r>
        <w:rPr>
          <w:rStyle w:val="Style_3_ch"/>
          <w:sz w:val="28"/>
        </w:rPr>
        <w:t>6</w:t>
      </w:r>
      <w:r>
        <w:rPr>
          <w:rStyle w:val="Style_3_ch"/>
          <w:sz w:val="28"/>
        </w:rPr>
        <w:t xml:space="preserve"> года</w:t>
      </w:r>
      <w:r>
        <w:rPr>
          <w:rStyle w:val="Style_3_ch"/>
          <w:sz w:val="28"/>
        </w:rPr>
        <w:t xml:space="preserve"> (утвержденный </w:t>
      </w:r>
      <w:r>
        <w:rPr>
          <w:sz w:val="28"/>
        </w:rPr>
        <w:t>постановлени</w:t>
      </w:r>
      <w:r>
        <w:rPr>
          <w:sz w:val="28"/>
        </w:rPr>
        <w:t>я</w:t>
      </w:r>
      <w:r>
        <w:rPr>
          <w:sz w:val="28"/>
        </w:rPr>
        <w:t xml:space="preserve"> администрации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от 17.07.2023 № 1012</w:t>
      </w:r>
      <w:r>
        <w:rPr>
          <w:sz w:val="28"/>
        </w:rPr>
        <w:t>)</w:t>
      </w:r>
      <w:r>
        <w:rPr>
          <w:sz w:val="28"/>
        </w:rPr>
        <w:t xml:space="preserve">, </w:t>
      </w:r>
      <w:r>
        <w:rPr>
          <w:sz w:val="28"/>
        </w:rPr>
        <w:t xml:space="preserve">и </w:t>
      </w:r>
      <w:r>
        <w:rPr>
          <w:sz w:val="28"/>
        </w:rPr>
        <w:t xml:space="preserve">ориентирована на достижение показателей, определенных </w:t>
      </w:r>
      <w:r>
        <w:rPr>
          <w:sz w:val="28"/>
        </w:rPr>
        <w:t>Стратегией социально-экономического развития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округа </w:t>
      </w:r>
      <w:r>
        <w:rPr>
          <w:sz w:val="28"/>
        </w:rPr>
        <w:t>до</w:t>
      </w:r>
      <w:r>
        <w:rPr>
          <w:sz w:val="28"/>
        </w:rPr>
        <w:t xml:space="preserve"> 2035</w:t>
      </w:r>
      <w:r>
        <w:rPr>
          <w:sz w:val="28"/>
        </w:rPr>
        <w:t xml:space="preserve"> года</w:t>
      </w:r>
      <w:r>
        <w:rPr>
          <w:sz w:val="28"/>
        </w:rPr>
        <w:t xml:space="preserve"> (</w:t>
      </w:r>
      <w:r>
        <w:rPr>
          <w:sz w:val="28"/>
        </w:rPr>
        <w:t xml:space="preserve">утвержденной </w:t>
      </w:r>
      <w:r>
        <w:rPr>
          <w:sz w:val="28"/>
        </w:rPr>
        <w:t xml:space="preserve">решением Совета народных депутатов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округа</w:t>
      </w:r>
      <w:r>
        <w:rPr>
          <w:sz w:val="28"/>
        </w:rPr>
        <w:t xml:space="preserve"> </w:t>
      </w:r>
      <w:r>
        <w:rPr>
          <w:sz w:val="28"/>
        </w:rPr>
        <w:t>от 03.09.2018 №129</w:t>
      </w:r>
      <w:r>
        <w:rPr>
          <w:sz w:val="28"/>
        </w:rPr>
        <w:t>)</w:t>
      </w:r>
      <w:r>
        <w:rPr>
          <w:sz w:val="28"/>
        </w:rPr>
        <w:t>.</w:t>
      </w:r>
    </w:p>
    <w:p w14:paraId="0D000000">
      <w:pPr>
        <w:ind/>
        <w:jc w:val="center"/>
        <w:rPr>
          <w:sz w:val="28"/>
        </w:rPr>
      </w:pPr>
    </w:p>
    <w:p w14:paraId="0E000000">
      <w:pPr>
        <w:numPr>
          <w:ilvl w:val="0"/>
          <w:numId w:val="1"/>
        </w:num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Итоги реализации Д</w:t>
      </w:r>
      <w:r>
        <w:rPr>
          <w:b w:val="1"/>
          <w:sz w:val="28"/>
        </w:rPr>
        <w:t xml:space="preserve">олговой политики </w:t>
      </w:r>
      <w:r>
        <w:rPr>
          <w:b w:val="1"/>
          <w:sz w:val="28"/>
        </w:rPr>
        <w:t>за 2023 год</w:t>
      </w:r>
    </w:p>
    <w:p w14:paraId="0F000000">
      <w:pPr>
        <w:ind w:firstLine="0" w:left="720"/>
        <w:rPr>
          <w:b w:val="1"/>
          <w:sz w:val="28"/>
        </w:rPr>
      </w:pPr>
    </w:p>
    <w:p w14:paraId="10000000">
      <w:pPr>
        <w:tabs>
          <w:tab w:leader="none" w:pos="284" w:val="left"/>
        </w:tabs>
        <w:ind w:firstLine="709" w:left="0"/>
        <w:jc w:val="both"/>
        <w:rPr>
          <w:sz w:val="28"/>
        </w:rPr>
      </w:pPr>
      <w:r>
        <w:rPr>
          <w:sz w:val="28"/>
        </w:rPr>
        <w:t>Заемные средства в 2023 году не привлекались.</w:t>
      </w:r>
      <w:r>
        <w:rPr>
          <w:sz w:val="22"/>
        </w:rPr>
        <w:t xml:space="preserve"> </w:t>
      </w:r>
      <w:r>
        <w:rPr>
          <w:sz w:val="28"/>
        </w:rPr>
        <w:t xml:space="preserve">Муниципальный долг в </w:t>
      </w:r>
      <w:r>
        <w:rPr>
          <w:sz w:val="28"/>
        </w:rPr>
        <w:t>Крапивинском</w:t>
      </w:r>
      <w:r>
        <w:rPr>
          <w:sz w:val="28"/>
        </w:rPr>
        <w:t xml:space="preserve"> муниципальном округе</w:t>
      </w:r>
      <w:r>
        <w:rPr>
          <w:sz w:val="28"/>
        </w:rPr>
        <w:t xml:space="preserve"> отсутствует на момент принятия настоящего постановления.</w:t>
      </w:r>
      <w:r>
        <w:rPr>
          <w:sz w:val="28"/>
        </w:rPr>
        <w:t xml:space="preserve"> </w:t>
      </w:r>
    </w:p>
    <w:p w14:paraId="1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года согласно статье 107.1 Бюджетного кодекса Российской Федерации все </w:t>
      </w:r>
      <w:r>
        <w:rPr>
          <w:rFonts w:ascii="Times New Roman" w:hAnsi="Times New Roman"/>
          <w:sz w:val="28"/>
        </w:rPr>
        <w:t>муниципальные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Кемеровской области – Кузбасса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ежегодно делятся на группы заемщиков по уровням долговой устойчивости в соответствии с </w:t>
      </w:r>
      <w:r>
        <w:rPr>
          <w:rFonts w:ascii="Times New Roman" w:hAnsi="Times New Roman"/>
          <w:sz w:val="28"/>
        </w:rPr>
        <w:t>постановлением Правительства Кемеровской области – Кузбасса от 27.11.2020 №  697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Порядка оценки долговой устойчивости муниципальных образований Кемеровской области – Кузбасса</w:t>
      </w:r>
      <w:r>
        <w:rPr>
          <w:rFonts w:ascii="Times New Roman" w:hAnsi="Times New Roman"/>
          <w:sz w:val="28"/>
        </w:rPr>
        <w:t>».</w:t>
      </w:r>
    </w:p>
    <w:p w14:paraId="1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приказом Минфина от 19.09.2023г. №141 «Об утверждении Перечня муниципальных образований Кемеровской области – Кузбасса, отнесенных к группам долговой устойчивости в 2023 году»</w:t>
      </w:r>
      <w:r>
        <w:rPr>
          <w:sz w:val="28"/>
        </w:rPr>
        <w:t>, опубликованн</w:t>
      </w:r>
      <w:r>
        <w:rPr>
          <w:sz w:val="28"/>
        </w:rPr>
        <w:t>ым</w:t>
      </w:r>
      <w:r>
        <w:rPr>
          <w:sz w:val="28"/>
        </w:rPr>
        <w:t xml:space="preserve"> на сайте Министерства финансов </w:t>
      </w:r>
      <w:r>
        <w:rPr>
          <w:sz w:val="28"/>
        </w:rPr>
        <w:t>Кузбасса</w:t>
      </w:r>
      <w:r>
        <w:rPr>
          <w:sz w:val="28"/>
        </w:rPr>
        <w:t xml:space="preserve">, </w:t>
      </w:r>
      <w:r>
        <w:rPr>
          <w:sz w:val="28"/>
        </w:rPr>
        <w:t>Крапивинский муниципальный округ</w:t>
      </w:r>
      <w:r>
        <w:rPr>
          <w:sz w:val="28"/>
        </w:rPr>
        <w:t xml:space="preserve"> отнес</w:t>
      </w:r>
      <w:r>
        <w:rPr>
          <w:sz w:val="28"/>
        </w:rPr>
        <w:t>ё</w:t>
      </w:r>
      <w:r>
        <w:rPr>
          <w:sz w:val="28"/>
        </w:rPr>
        <w:t xml:space="preserve">н к группе заемщиков с высоким уровнем долговой устойчивости. </w:t>
      </w:r>
    </w:p>
    <w:p w14:paraId="13000000">
      <w:pPr>
        <w:ind/>
        <w:jc w:val="center"/>
        <w:rPr>
          <w:sz w:val="28"/>
        </w:rPr>
      </w:pPr>
    </w:p>
    <w:p w14:paraId="14000000">
      <w:pPr>
        <w:numPr>
          <w:ilvl w:val="0"/>
          <w:numId w:val="1"/>
        </w:num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Основные факторы, опред</w:t>
      </w:r>
      <w:r>
        <w:rPr>
          <w:b w:val="1"/>
          <w:sz w:val="28"/>
        </w:rPr>
        <w:t>еляющие характер и направления Д</w:t>
      </w:r>
      <w:r>
        <w:rPr>
          <w:b w:val="1"/>
          <w:sz w:val="28"/>
        </w:rPr>
        <w:t>олговой политики</w:t>
      </w:r>
    </w:p>
    <w:p w14:paraId="15000000">
      <w:pPr>
        <w:ind w:firstLine="709" w:left="0"/>
        <w:jc w:val="both"/>
        <w:rPr>
          <w:b w:val="1"/>
          <w:sz w:val="28"/>
        </w:rPr>
      </w:pPr>
    </w:p>
    <w:p w14:paraId="16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Долговая политика на 20</w:t>
      </w:r>
      <w:r>
        <w:rPr>
          <w:color w:val="000000"/>
          <w:sz w:val="28"/>
        </w:rPr>
        <w:t>24-</w:t>
      </w:r>
      <w:r>
        <w:rPr>
          <w:color w:val="000000"/>
          <w:sz w:val="28"/>
        </w:rPr>
        <w:t>202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выстраиваться из принципа финансовой устойчивости б</w:t>
      </w:r>
      <w:r>
        <w:rPr>
          <w:color w:val="000000"/>
          <w:sz w:val="28"/>
        </w:rPr>
        <w:t xml:space="preserve">юджета Крапивинского муниципального округа </w:t>
      </w:r>
      <w:r>
        <w:rPr>
          <w:color w:val="000000"/>
          <w:sz w:val="28"/>
        </w:rPr>
        <w:t>к возможным негативным последствиям,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поддержани</w:t>
      </w:r>
      <w:r>
        <w:rPr>
          <w:sz w:val="28"/>
        </w:rPr>
        <w:t>и</w:t>
      </w:r>
      <w:r>
        <w:rPr>
          <w:sz w:val="28"/>
        </w:rPr>
        <w:t xml:space="preserve"> объема муниципального долга на экономически безопасном уровне.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Основными факторами, определяющими характер </w:t>
      </w:r>
      <w:r>
        <w:rPr>
          <w:sz w:val="28"/>
        </w:rPr>
        <w:t>Д</w:t>
      </w:r>
      <w:r>
        <w:rPr>
          <w:sz w:val="28"/>
        </w:rPr>
        <w:t>олговой политики при исполнении бюджета</w:t>
      </w:r>
      <w:r>
        <w:rPr>
          <w:sz w:val="28"/>
        </w:rPr>
        <w:t xml:space="preserve">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</w:t>
      </w:r>
      <w:r>
        <w:rPr>
          <w:sz w:val="28"/>
        </w:rPr>
        <w:t xml:space="preserve"> округа, будут являться: 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риски снижения налоговых и неналоговых доходов бюджета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</w:t>
      </w:r>
      <w:r>
        <w:rPr>
          <w:sz w:val="28"/>
        </w:rPr>
        <w:t xml:space="preserve">округа, вследствие ухудшения общеэкономической ситуации в </w:t>
      </w:r>
      <w:r>
        <w:rPr>
          <w:sz w:val="28"/>
        </w:rPr>
        <w:t>Крапивинском муниципальном округе</w:t>
      </w:r>
      <w:r>
        <w:rPr>
          <w:sz w:val="28"/>
        </w:rPr>
        <w:t>;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изменения норм федерального и областного законодательства, влекущие за собой снижение доходов и (или) увеличение расходов бюджета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округа;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риски роста процентных ставок, обусловленные как ухудшением экономической ситуации в стране, так и неблагоприятными внешнеполитическими факторами</w:t>
      </w:r>
      <w:r>
        <w:rPr>
          <w:sz w:val="28"/>
        </w:rPr>
        <w:t>.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Накопление негативных факторов может повлиять на уровень долговой нагрузки и, как следствие, рост расходов на обслуживание муниципального долга.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>Приоритетами Долговой политики в 202</w:t>
      </w:r>
      <w:r>
        <w:rPr>
          <w:sz w:val="28"/>
        </w:rPr>
        <w:t>4</w:t>
      </w:r>
      <w:r>
        <w:rPr>
          <w:sz w:val="28"/>
        </w:rPr>
        <w:t>-</w:t>
      </w:r>
      <w:r>
        <w:rPr>
          <w:sz w:val="28"/>
        </w:rPr>
        <w:t xml:space="preserve">2026 годах </w:t>
      </w:r>
      <w:r>
        <w:rPr>
          <w:sz w:val="28"/>
        </w:rPr>
        <w:t>будут являться: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обеспечение полного и своевременного исполнения принятых</w:t>
      </w:r>
      <w:r>
        <w:rPr>
          <w:sz w:val="28"/>
        </w:rPr>
        <w:t xml:space="preserve"> расходных обязательств </w:t>
      </w:r>
      <w:r>
        <w:rPr>
          <w:color w:val="000000"/>
          <w:sz w:val="28"/>
        </w:rPr>
        <w:t>Крапивинского муниципального округа</w:t>
      </w:r>
      <w:r>
        <w:rPr>
          <w:sz w:val="28"/>
        </w:rPr>
        <w:t>;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сохранени</w:t>
      </w:r>
      <w:r>
        <w:rPr>
          <w:sz w:val="28"/>
        </w:rPr>
        <w:t>е</w:t>
      </w:r>
      <w:r>
        <w:rPr>
          <w:sz w:val="28"/>
        </w:rPr>
        <w:t xml:space="preserve"> позиции </w:t>
      </w:r>
      <w:r>
        <w:rPr>
          <w:sz w:val="28"/>
        </w:rPr>
        <w:t>в группе</w:t>
      </w:r>
      <w:r>
        <w:rPr>
          <w:sz w:val="28"/>
        </w:rPr>
        <w:t xml:space="preserve"> муниципальных образований</w:t>
      </w:r>
      <w:r>
        <w:rPr>
          <w:sz w:val="28"/>
        </w:rPr>
        <w:t xml:space="preserve"> </w:t>
      </w:r>
      <w:r>
        <w:rPr>
          <w:sz w:val="28"/>
        </w:rPr>
        <w:t>Кемеровской области</w:t>
      </w:r>
      <w:r>
        <w:rPr>
          <w:sz w:val="28"/>
        </w:rPr>
        <w:t xml:space="preserve"> – </w:t>
      </w:r>
      <w:r>
        <w:rPr>
          <w:sz w:val="28"/>
        </w:rPr>
        <w:t>Кузбассе</w:t>
      </w:r>
      <w:r>
        <w:rPr>
          <w:sz w:val="28"/>
        </w:rPr>
        <w:t xml:space="preserve"> с уровнем долговой устойчивости не ниже среднего</w:t>
      </w:r>
      <w:r>
        <w:rPr>
          <w:sz w:val="28"/>
        </w:rPr>
        <w:t xml:space="preserve"> в соответствии с системой оценки Министерства финансов </w:t>
      </w:r>
      <w:r>
        <w:rPr>
          <w:sz w:val="28"/>
        </w:rPr>
        <w:t>Кузбасса;</w:t>
      </w: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контроль за изменениями, вносимыми в бюджетное законодательство Российской Федерации. </w:t>
      </w:r>
    </w:p>
    <w:p w14:paraId="20000000">
      <w:pPr>
        <w:ind/>
        <w:jc w:val="center"/>
        <w:rPr>
          <w:sz w:val="28"/>
        </w:rPr>
      </w:pPr>
    </w:p>
    <w:p w14:paraId="21000000">
      <w:pPr>
        <w:numPr>
          <w:ilvl w:val="0"/>
          <w:numId w:val="1"/>
        </w:num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Цели и задачи </w:t>
      </w:r>
      <w:r>
        <w:rPr>
          <w:b w:val="1"/>
          <w:sz w:val="28"/>
        </w:rPr>
        <w:t>Д</w:t>
      </w:r>
      <w:r>
        <w:rPr>
          <w:b w:val="1"/>
          <w:sz w:val="28"/>
        </w:rPr>
        <w:t>олговой политики</w:t>
      </w:r>
    </w:p>
    <w:p w14:paraId="22000000">
      <w:pPr>
        <w:ind w:firstLine="0" w:left="720"/>
        <w:rPr>
          <w:b w:val="1"/>
          <w:sz w:val="28"/>
        </w:rPr>
      </w:pPr>
    </w:p>
    <w:p w14:paraId="2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</w:rPr>
        <w:t>Целями Д</w:t>
      </w:r>
      <w:r>
        <w:rPr>
          <w:sz w:val="28"/>
        </w:rPr>
        <w:t>олговой политики являются:</w:t>
      </w:r>
    </w:p>
    <w:p w14:paraId="2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обеспечение сбалансированности бюджета </w:t>
      </w:r>
      <w:r>
        <w:rPr>
          <w:sz w:val="28"/>
        </w:rPr>
        <w:t xml:space="preserve">Крапивинского </w:t>
      </w:r>
      <w:r>
        <w:rPr>
          <w:sz w:val="28"/>
        </w:rPr>
        <w:t xml:space="preserve">муниципального округа  при </w:t>
      </w:r>
      <w:r>
        <w:rPr>
          <w:sz w:val="28"/>
        </w:rPr>
        <w:t xml:space="preserve"> </w:t>
      </w:r>
      <w:r>
        <w:rPr>
          <w:sz w:val="28"/>
        </w:rPr>
        <w:t>поддержании объема муниципального долга на экономически безопасном уровне, обеспечивающим возможность гарантированного выполнения муниципальным образованием обязательств по его погашению и обслуживанию</w:t>
      </w:r>
      <w:r>
        <w:rPr>
          <w:sz w:val="28"/>
        </w:rPr>
        <w:t xml:space="preserve"> при условии сохранения устойчивости бюджета округа</w:t>
      </w:r>
      <w:r>
        <w:rPr>
          <w:sz w:val="28"/>
        </w:rPr>
        <w:t xml:space="preserve">; </w:t>
      </w:r>
    </w:p>
    <w:p w14:paraId="2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своевременное исполнение долговых обязательств муниципального образования.</w:t>
      </w:r>
    </w:p>
    <w:p w14:paraId="2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3.2.</w:t>
      </w:r>
      <w:r>
        <w:rPr>
          <w:sz w:val="28"/>
        </w:rPr>
        <w:t xml:space="preserve"> Задачами Д</w:t>
      </w:r>
      <w:r>
        <w:rPr>
          <w:sz w:val="28"/>
        </w:rPr>
        <w:t>олговой политики являются:</w:t>
      </w:r>
    </w:p>
    <w:p w14:paraId="2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повышение финансовой устойчивости бюджета Крапивинского </w:t>
      </w:r>
      <w:r>
        <w:rPr>
          <w:sz w:val="28"/>
        </w:rPr>
        <w:t>муниципального округа</w:t>
      </w:r>
      <w:r>
        <w:rPr>
          <w:sz w:val="28"/>
        </w:rPr>
        <w:t>;</w:t>
      </w:r>
    </w:p>
    <w:p w14:paraId="2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осуществление контроля за показателями долговой устойчивости бюджета </w:t>
      </w:r>
      <w:r>
        <w:rPr>
          <w:sz w:val="28"/>
        </w:rPr>
        <w:t xml:space="preserve">Крапивинского </w:t>
      </w:r>
      <w:r>
        <w:rPr>
          <w:sz w:val="28"/>
        </w:rPr>
        <w:t>муниципального округа</w:t>
      </w:r>
      <w:r>
        <w:rPr>
          <w:sz w:val="28"/>
        </w:rPr>
        <w:t xml:space="preserve"> (предельными значениями, установленными Бюджетным кодексом Российской Федерации);</w:t>
      </w:r>
    </w:p>
    <w:p w14:paraId="2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обеспечение</w:t>
      </w:r>
      <w:r>
        <w:rPr>
          <w:sz w:val="28"/>
        </w:rPr>
        <w:t xml:space="preserve"> репутации </w:t>
      </w:r>
      <w:r>
        <w:rPr>
          <w:sz w:val="28"/>
        </w:rPr>
        <w:t xml:space="preserve">Крапивинского </w:t>
      </w:r>
      <w:r>
        <w:rPr>
          <w:sz w:val="28"/>
        </w:rPr>
        <w:t>муниципального округа</w:t>
      </w:r>
      <w:r>
        <w:rPr>
          <w:sz w:val="28"/>
        </w:rPr>
        <w:t xml:space="preserve"> </w:t>
      </w:r>
      <w:r>
        <w:rPr>
          <w:sz w:val="28"/>
        </w:rPr>
        <w:t>в качестве надежного заемщика.</w:t>
      </w:r>
    </w:p>
    <w:p w14:paraId="2A000000">
      <w:pPr>
        <w:widowControl w:val="0"/>
        <w:ind w:firstLine="709" w:left="0"/>
        <w:jc w:val="both"/>
        <w:rPr>
          <w:sz w:val="28"/>
        </w:rPr>
      </w:pPr>
    </w:p>
    <w:p w14:paraId="2B000000">
      <w:pPr>
        <w:widowControl w:val="0"/>
        <w:numPr>
          <w:ilvl w:val="0"/>
          <w:numId w:val="1"/>
        </w:numPr>
        <w:ind w:firstLine="0" w:left="0"/>
        <w:jc w:val="center"/>
        <w:rPr>
          <w:sz w:val="28"/>
        </w:rPr>
      </w:pPr>
      <w:r>
        <w:rPr>
          <w:b w:val="1"/>
          <w:sz w:val="28"/>
        </w:rPr>
        <w:t>Инструменты</w:t>
      </w:r>
      <w:r>
        <w:rPr>
          <w:b w:val="1"/>
          <w:sz w:val="28"/>
        </w:rPr>
        <w:t xml:space="preserve"> реализации Д</w:t>
      </w:r>
      <w:r>
        <w:rPr>
          <w:b w:val="1"/>
          <w:sz w:val="28"/>
        </w:rPr>
        <w:t>олговой политики</w:t>
      </w:r>
    </w:p>
    <w:p w14:paraId="2C000000">
      <w:pPr>
        <w:widowControl w:val="0"/>
        <w:ind w:firstLine="709" w:left="0"/>
        <w:jc w:val="both"/>
        <w:rPr>
          <w:sz w:val="28"/>
        </w:rPr>
      </w:pPr>
    </w:p>
    <w:p w14:paraId="2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обеспечения сбалансированности и устойчивости бюджета </w:t>
      </w:r>
      <w:r>
        <w:rPr>
          <w:sz w:val="28"/>
        </w:rPr>
        <w:t xml:space="preserve">Кемеровской области – Кузбасса </w:t>
      </w:r>
      <w:r>
        <w:rPr>
          <w:sz w:val="28"/>
        </w:rPr>
        <w:t>в 202</w:t>
      </w:r>
      <w:r>
        <w:rPr>
          <w:sz w:val="28"/>
        </w:rPr>
        <w:t>4</w:t>
      </w:r>
      <w:r>
        <w:rPr>
          <w:sz w:val="28"/>
        </w:rPr>
        <w:t>-</w:t>
      </w:r>
      <w:r>
        <w:rPr>
          <w:sz w:val="28"/>
        </w:rPr>
        <w:t>202</w:t>
      </w:r>
      <w:r>
        <w:rPr>
          <w:sz w:val="28"/>
        </w:rPr>
        <w:t>6</w:t>
      </w:r>
      <w:r>
        <w:rPr>
          <w:sz w:val="28"/>
        </w:rPr>
        <w:t xml:space="preserve"> годах будет продолжена реализация плана мероприятий</w:t>
      </w:r>
      <w:r>
        <w:rPr>
          <w:sz w:val="28"/>
        </w:rPr>
        <w:t xml:space="preserve">, утвержденного </w:t>
      </w:r>
      <w:r>
        <w:rPr>
          <w:sz w:val="28"/>
        </w:rPr>
        <w:t>постановлени</w:t>
      </w:r>
      <w:r>
        <w:rPr>
          <w:sz w:val="28"/>
        </w:rPr>
        <w:t xml:space="preserve">ем </w:t>
      </w:r>
      <w:r>
        <w:rPr>
          <w:sz w:val="28"/>
        </w:rPr>
        <w:t xml:space="preserve">администрации Крапивинского муниципального округа от </w:t>
      </w:r>
      <w:r>
        <w:rPr>
          <w:sz w:val="28"/>
        </w:rPr>
        <w:t>25</w:t>
      </w:r>
      <w:r>
        <w:rPr>
          <w:sz w:val="28"/>
        </w:rPr>
        <w:t>.0</w:t>
      </w:r>
      <w:r>
        <w:rPr>
          <w:sz w:val="28"/>
        </w:rPr>
        <w:t>3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>г. №3</w:t>
      </w:r>
      <w:r>
        <w:rPr>
          <w:sz w:val="28"/>
        </w:rPr>
        <w:t>55</w:t>
      </w:r>
      <w:r>
        <w:rPr>
          <w:sz w:val="28"/>
        </w:rPr>
        <w:t xml:space="preserve"> «Об утверждении Программы финансового оздоровления Крапивинского муниципального округа на 202</w:t>
      </w:r>
      <w:r>
        <w:rPr>
          <w:sz w:val="28"/>
        </w:rPr>
        <w:t>4</w:t>
      </w:r>
      <w:r>
        <w:rPr>
          <w:sz w:val="28"/>
        </w:rPr>
        <w:t>-</w:t>
      </w:r>
      <w:r>
        <w:rPr>
          <w:sz w:val="28"/>
        </w:rPr>
        <w:t>202</w:t>
      </w:r>
      <w:r>
        <w:rPr>
          <w:sz w:val="28"/>
        </w:rPr>
        <w:t>6</w:t>
      </w:r>
      <w:r>
        <w:rPr>
          <w:sz w:val="28"/>
        </w:rPr>
        <w:t xml:space="preserve"> годы»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Для реализации </w:t>
      </w:r>
      <w:r>
        <w:rPr>
          <w:sz w:val="28"/>
        </w:rPr>
        <w:t>Д</w:t>
      </w:r>
      <w:r>
        <w:rPr>
          <w:sz w:val="28"/>
        </w:rPr>
        <w:t>олговой политики предполагается использование следующих инструментов:</w:t>
      </w:r>
    </w:p>
    <w:p w14:paraId="2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использование остатков средств </w:t>
      </w:r>
      <w:r>
        <w:rPr>
          <w:sz w:val="28"/>
        </w:rPr>
        <w:t>местного</w:t>
      </w:r>
      <w:r>
        <w:rPr>
          <w:sz w:val="28"/>
        </w:rPr>
        <w:t xml:space="preserve"> бюджета, </w:t>
      </w:r>
      <w:r>
        <w:rPr>
          <w:sz w:val="28"/>
        </w:rPr>
        <w:t>сложившихся на начало соответствующего финансового года</w:t>
      </w:r>
      <w:r>
        <w:rPr>
          <w:sz w:val="28"/>
        </w:rPr>
        <w:t xml:space="preserve">, для финансирования дефицита бюджета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>;</w:t>
      </w:r>
    </w:p>
    <w:p w14:paraId="30000000">
      <w:p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привлечение временно свободных средств </w:t>
      </w:r>
      <w:r>
        <w:rPr>
          <w:sz w:val="28"/>
        </w:rPr>
        <w:t>с казначейских счетов на единый счет бюджета Крапивинского муниципального округа</w:t>
      </w:r>
      <w:r>
        <w:rPr>
          <w:sz w:val="28"/>
        </w:rPr>
        <w:t xml:space="preserve"> в целях </w:t>
      </w:r>
      <w:r>
        <w:rPr>
          <w:sz w:val="28"/>
        </w:rPr>
        <w:t>погашения обязательств.</w:t>
      </w:r>
    </w:p>
    <w:p w14:paraId="31000000">
      <w:pPr>
        <w:ind w:firstLine="709" w:left="0"/>
        <w:jc w:val="both"/>
        <w:rPr>
          <w:sz w:val="28"/>
        </w:rPr>
      </w:pPr>
      <w:r>
        <w:rPr>
          <w:sz w:val="28"/>
        </w:rPr>
        <w:t>В случае принятия решения о необходимости муниципальных заимствований, привлечение заемных средств будет осуществляться в форме бюджетных кредитов или кредитов кредитных организаций в валюте Российской Федерации.</w:t>
      </w:r>
    </w:p>
    <w:p w14:paraId="3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Объемы и параметры </w:t>
      </w:r>
      <w:r>
        <w:rPr>
          <w:sz w:val="28"/>
        </w:rPr>
        <w:t>муниципальных</w:t>
      </w:r>
      <w:r>
        <w:rPr>
          <w:sz w:val="28"/>
        </w:rPr>
        <w:t xml:space="preserve"> заимствований будут</w:t>
      </w:r>
      <w:r>
        <w:rPr>
          <w:sz w:val="28"/>
        </w:rPr>
        <w:t xml:space="preserve"> определяться таким образом, чтобы обеспечивал</w:t>
      </w:r>
      <w:r>
        <w:rPr>
          <w:sz w:val="28"/>
        </w:rPr>
        <w:t>о</w:t>
      </w:r>
      <w:r>
        <w:rPr>
          <w:sz w:val="28"/>
        </w:rPr>
        <w:t xml:space="preserve">сь </w:t>
      </w:r>
      <w:r>
        <w:rPr>
          <w:sz w:val="28"/>
        </w:rPr>
        <w:t>своевременное финансирование первоочередных расходов</w:t>
      </w:r>
      <w:r>
        <w:rPr>
          <w:sz w:val="28"/>
        </w:rPr>
        <w:t xml:space="preserve">, а структура платежей по погашению и обслуживанию </w:t>
      </w:r>
      <w:r>
        <w:rPr>
          <w:sz w:val="28"/>
        </w:rPr>
        <w:t>муниципального</w:t>
      </w:r>
      <w:r>
        <w:rPr>
          <w:sz w:val="28"/>
        </w:rPr>
        <w:t xml:space="preserve"> долга была равномерной, не имела пиков платежей в отдельном финансовом году.</w:t>
      </w: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>Основными инструментами реализации долговой политики в случае осуществления муниципальных заимствований являются:</w:t>
      </w:r>
    </w:p>
    <w:p w14:paraId="34000000">
      <w:pPr>
        <w:ind w:firstLine="709" w:left="0"/>
        <w:jc w:val="both"/>
        <w:rPr>
          <w:sz w:val="28"/>
        </w:rPr>
      </w:pPr>
      <w:r>
        <w:rPr>
          <w:sz w:val="28"/>
        </w:rPr>
        <w:t>- осуществление мониторинга конъюнктуры долгового рынка;</w:t>
      </w:r>
    </w:p>
    <w:p w14:paraId="3500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- осуществление</w:t>
      </w:r>
      <w:r>
        <w:rPr>
          <w:sz w:val="28"/>
        </w:rPr>
        <w:t xml:space="preserve"> </w:t>
      </w:r>
      <w:r>
        <w:rPr>
          <w:sz w:val="28"/>
        </w:rPr>
        <w:t>мониторинга соответствия</w:t>
      </w:r>
      <w:r>
        <w:rPr>
          <w:sz w:val="28"/>
        </w:rPr>
        <w:t xml:space="preserve"> </w:t>
      </w:r>
      <w:r>
        <w:rPr>
          <w:sz w:val="28"/>
        </w:rPr>
        <w:t>параметров муниципального долга ограничениям, установленным Бюджетным кодексом Российской Федерации;</w:t>
      </w:r>
    </w:p>
    <w:p w14:paraId="3600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- привлечение заимствований на среднесрочный</w:t>
      </w:r>
      <w:r>
        <w:rPr>
          <w:sz w:val="28"/>
        </w:rPr>
        <w:t xml:space="preserve"> или </w:t>
      </w:r>
      <w:r>
        <w:rPr>
          <w:sz w:val="28"/>
        </w:rPr>
        <w:t xml:space="preserve"> долгосрочный периоды на благоприятных</w:t>
      </w:r>
      <w:r>
        <w:rPr>
          <w:sz w:val="28"/>
        </w:rPr>
        <w:t xml:space="preserve"> условиях</w:t>
      </w:r>
      <w:r>
        <w:rPr>
          <w:sz w:val="28"/>
        </w:rPr>
        <w:t xml:space="preserve"> для </w:t>
      </w:r>
      <w:r>
        <w:rPr>
          <w:sz w:val="28"/>
        </w:rPr>
        <w:t>Крапивинского</w:t>
      </w:r>
      <w:r>
        <w:rPr>
          <w:sz w:val="28"/>
        </w:rPr>
        <w:t xml:space="preserve"> муниципального округа по срокам погашения и равномерного распределения долговой нагрузки на </w:t>
      </w:r>
      <w:r>
        <w:rPr>
          <w:sz w:val="28"/>
        </w:rPr>
        <w:t xml:space="preserve">местный </w:t>
      </w:r>
      <w:r>
        <w:rPr>
          <w:sz w:val="28"/>
        </w:rPr>
        <w:t xml:space="preserve">бюджет. </w:t>
      </w:r>
    </w:p>
    <w:p w14:paraId="37000000">
      <w:pPr>
        <w:ind/>
        <w:jc w:val="both"/>
        <w:rPr>
          <w:sz w:val="28"/>
        </w:rPr>
      </w:pPr>
    </w:p>
    <w:p w14:paraId="38000000">
      <w:pPr>
        <w:widowControl w:val="0"/>
        <w:numPr>
          <w:ilvl w:val="0"/>
          <w:numId w:val="1"/>
        </w:numPr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Анализ рисков для бюджета </w:t>
      </w:r>
      <w:r>
        <w:rPr>
          <w:b w:val="1"/>
          <w:sz w:val="28"/>
        </w:rPr>
        <w:t>Крапивинского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муниципального округа, возникающих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 процессе управления муниципальным долгом</w:t>
      </w:r>
    </w:p>
    <w:p w14:paraId="39000000">
      <w:pPr>
        <w:ind/>
        <w:jc w:val="both"/>
        <w:rPr>
          <w:sz w:val="28"/>
        </w:rPr>
      </w:pPr>
    </w:p>
    <w:p w14:paraId="3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5.1.</w:t>
      </w:r>
      <w:r>
        <w:rPr>
          <w:sz w:val="28"/>
        </w:rPr>
        <w:t xml:space="preserve"> Важное место в достижении целей долговой политики занимает оценка потенциальных рисков, возникающих в процессе ее реализации.</w:t>
      </w:r>
    </w:p>
    <w:p w14:paraId="3B000000">
      <w:pPr>
        <w:ind w:firstLine="709" w:left="0"/>
        <w:jc w:val="both"/>
        <w:rPr>
          <w:sz w:val="28"/>
        </w:rPr>
      </w:pPr>
      <w:r>
        <w:rPr>
          <w:sz w:val="28"/>
        </w:rPr>
        <w:t>Ос</w:t>
      </w:r>
      <w:r>
        <w:rPr>
          <w:sz w:val="28"/>
        </w:rPr>
        <w:t xml:space="preserve">новными рисками при управлении </w:t>
      </w:r>
      <w:r>
        <w:rPr>
          <w:sz w:val="28"/>
        </w:rPr>
        <w:t>муниципальным</w:t>
      </w:r>
      <w:r>
        <w:rPr>
          <w:sz w:val="28"/>
        </w:rPr>
        <w:t xml:space="preserve"> долгом являются:</w:t>
      </w:r>
    </w:p>
    <w:p w14:paraId="3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риск ликвидности </w:t>
      </w:r>
      <w:r>
        <w:rPr>
          <w:sz w:val="28"/>
        </w:rPr>
        <w:t>–</w:t>
      </w:r>
      <w:r>
        <w:rPr>
          <w:sz w:val="28"/>
        </w:rPr>
        <w:t xml:space="preserve"> риск неис</w:t>
      </w:r>
      <w:r>
        <w:rPr>
          <w:sz w:val="28"/>
        </w:rPr>
        <w:t>полнения долговых обязательств.</w:t>
      </w:r>
    </w:p>
    <w:p w14:paraId="3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Основным источником риска ликвидности является нарушение баланса финансовых активов и финансовых обязательств бюджета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 xml:space="preserve"> и (или) возникновение непредвиденной необходимости немедленного и единовременного</w:t>
      </w:r>
      <w:r>
        <w:rPr>
          <w:sz w:val="28"/>
        </w:rPr>
        <w:t xml:space="preserve"> </w:t>
      </w:r>
      <w:r>
        <w:rPr>
          <w:sz w:val="28"/>
        </w:rPr>
        <w:t>исполнения финансовых обязательств;</w:t>
      </w:r>
    </w:p>
    <w:p w14:paraId="3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рыночный риск (риск процентной ставки) </w:t>
      </w:r>
      <w:r>
        <w:rPr>
          <w:sz w:val="28"/>
        </w:rPr>
        <w:t>–</w:t>
      </w:r>
      <w:r>
        <w:rPr>
          <w:sz w:val="28"/>
        </w:rPr>
        <w:t xml:space="preserve"> риск увеличения объема расходов на обслуживание </w:t>
      </w:r>
      <w:r>
        <w:rPr>
          <w:sz w:val="28"/>
        </w:rPr>
        <w:t>муниципального</w:t>
      </w:r>
      <w:r>
        <w:rPr>
          <w:sz w:val="28"/>
        </w:rPr>
        <w:t xml:space="preserve"> долга, связанный с ростом увеличения Банком России размера ключевой ставки и (или) ростом объемов привлечения кредитов для выполнения расходных обязательств;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операционный риск </w:t>
      </w:r>
      <w:r>
        <w:t>–</w:t>
      </w:r>
      <w:r>
        <w:rPr>
          <w:sz w:val="28"/>
        </w:rPr>
        <w:t xml:space="preserve"> риск потерь (убытков) в результате технических</w:t>
      </w:r>
      <w:r>
        <w:rPr>
          <w:sz w:val="28"/>
        </w:rPr>
        <w:t xml:space="preserve"> ошибок, несоблюдения бюджетного законодательства, </w:t>
      </w:r>
      <w:r>
        <w:rPr>
          <w:sz w:val="28"/>
        </w:rPr>
        <w:t>сбоев учетно-расчетных, информационных и иных систем</w:t>
      </w:r>
      <w:r>
        <w:rPr>
          <w:sz w:val="28"/>
        </w:rPr>
        <w:t>;</w:t>
      </w:r>
    </w:p>
    <w:p w14:paraId="4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риск недостижения планируемых объемов поступлений доходов местного бюджета </w:t>
      </w:r>
      <w:r>
        <w:rPr>
          <w:sz w:val="28"/>
        </w:rPr>
        <w:t>–</w:t>
      </w:r>
      <w:r>
        <w:rPr>
          <w:sz w:val="28"/>
        </w:rPr>
        <w:t xml:space="preserve"> недопоступление доходов потребует поиска альтернативных источников для выполнения принятых расходных обязательств бюджета и обеспечения его сбалансированности</w:t>
      </w:r>
      <w:r>
        <w:rPr>
          <w:sz w:val="28"/>
        </w:rPr>
        <w:t>.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5.2. </w:t>
      </w:r>
      <w:r>
        <w:rPr>
          <w:sz w:val="28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14:paraId="4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достоверное прогнозирование доходов </w:t>
      </w:r>
      <w:r>
        <w:rPr>
          <w:sz w:val="28"/>
        </w:rPr>
        <w:t>местного</w:t>
      </w:r>
      <w:r>
        <w:rPr>
          <w:sz w:val="28"/>
        </w:rPr>
        <w:t xml:space="preserve"> бюджета и поступлений по источникам финансирования дефицита </w:t>
      </w:r>
      <w:r>
        <w:rPr>
          <w:sz w:val="28"/>
        </w:rPr>
        <w:t>местного</w:t>
      </w:r>
      <w:r>
        <w:rPr>
          <w:sz w:val="28"/>
        </w:rPr>
        <w:t xml:space="preserve"> бюджета;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планирование </w:t>
      </w:r>
      <w:r>
        <w:rPr>
          <w:sz w:val="28"/>
        </w:rPr>
        <w:t>муниципальных</w:t>
      </w:r>
      <w:r>
        <w:rPr>
          <w:sz w:val="28"/>
        </w:rPr>
        <w:t xml:space="preserve">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14:paraId="44000000">
      <w:pPr>
        <w:ind w:firstLine="709" w:left="0"/>
        <w:jc w:val="both"/>
        <w:rPr>
          <w:sz w:val="28"/>
        </w:rPr>
      </w:pPr>
      <w:r>
        <w:rPr>
          <w:sz w:val="28"/>
        </w:rPr>
        <w:t>принятие взвешенных и экономически обоснованных решений по принятию долговых обязательств;</w:t>
      </w:r>
    </w:p>
    <w:p w14:paraId="45000000">
      <w:pPr>
        <w:ind w:firstLine="709" w:left="0"/>
        <w:jc w:val="both"/>
        <w:rPr>
          <w:sz w:val="28"/>
        </w:rPr>
      </w:pPr>
      <w:bookmarkStart w:id="1" w:name="Par47"/>
      <w:bookmarkEnd w:id="1"/>
      <w:bookmarkStart w:id="2" w:name="Par60"/>
      <w:bookmarkEnd w:id="2"/>
      <w:r>
        <w:rPr>
          <w:sz w:val="28"/>
        </w:rPr>
        <w:t xml:space="preserve">учет финансовых, макроэкономических и бюджетных прогнозов при планировании графиков предстоящих платежей по погашению и обслуживанию </w:t>
      </w:r>
      <w:r>
        <w:rPr>
          <w:sz w:val="28"/>
        </w:rPr>
        <w:t xml:space="preserve">муниципального </w:t>
      </w:r>
      <w:r>
        <w:rPr>
          <w:sz w:val="28"/>
        </w:rPr>
        <w:t>долга;</w:t>
      </w:r>
    </w:p>
    <w:p w14:paraId="46000000">
      <w:pPr>
        <w:ind w:firstLine="709" w:left="0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инимизация использования краткосрочных инструментов заимствований;</w:t>
      </w: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остоянный мониторинг рыночной конъюнктуры и следование прогнозам изменения процентных ставок при</w:t>
      </w:r>
      <w:r>
        <w:rPr>
          <w:sz w:val="28"/>
        </w:rPr>
        <w:t xml:space="preserve"> планировании</w:t>
      </w:r>
      <w:r>
        <w:rPr>
          <w:sz w:val="28"/>
        </w:rPr>
        <w:t xml:space="preserve"> расходов бюджета.</w:t>
      </w:r>
    </w:p>
    <w:p w14:paraId="48000000">
      <w:pPr>
        <w:ind w:firstLine="709" w:left="0"/>
        <w:jc w:val="both"/>
        <w:rPr>
          <w:sz w:val="28"/>
        </w:rPr>
      </w:pPr>
    </w:p>
    <w:p w14:paraId="49000000">
      <w:pPr>
        <w:widowControl w:val="0"/>
        <w:numPr>
          <w:ilvl w:val="0"/>
          <w:numId w:val="1"/>
        </w:numPr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Сведения о показателях (индикаторах) реализации мероприятий Долговой политики</w:t>
      </w:r>
    </w:p>
    <w:p w14:paraId="4A000000">
      <w:pPr>
        <w:widowControl w:val="0"/>
        <w:ind w:firstLine="0" w:left="720"/>
        <w:rPr>
          <w:sz w:val="28"/>
        </w:rPr>
      </w:pPr>
    </w:p>
    <w:p w14:paraId="4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Основные мероприятия </w:t>
      </w:r>
      <w:r>
        <w:rPr>
          <w:sz w:val="28"/>
        </w:rPr>
        <w:t>Д</w:t>
      </w:r>
      <w:r>
        <w:rPr>
          <w:sz w:val="28"/>
        </w:rPr>
        <w:t>олговой политики направлены на реализацию поставленных целей и задач в целом и позволят обеспечить достиж</w:t>
      </w:r>
      <w:r>
        <w:rPr>
          <w:sz w:val="28"/>
        </w:rPr>
        <w:t>ение показателей (индикаторов), приведенных в таблице.</w:t>
      </w:r>
    </w:p>
    <w:tbl>
      <w:tblPr>
        <w:tblStyle w:val="Style_4"/>
        <w:tblpPr w:bottomFromText="0" w:horzAnchor="margin" w:leftFromText="180" w:rightFromText="180" w:tblpX="75" w:tblpY="166" w:topFromText="0" w:vertAnchor="text"/>
        <w:tblW w:type="auto" w:w="0"/>
        <w:tblLayout w:type="fixed"/>
        <w:tblCellMar>
          <w:left w:type="dxa" w:w="75"/>
          <w:right w:type="dxa" w:w="75"/>
        </w:tblCellMar>
      </w:tblPr>
      <w:tblGrid>
        <w:gridCol w:w="642"/>
        <w:gridCol w:w="5539"/>
        <w:gridCol w:w="962"/>
        <w:gridCol w:w="963"/>
        <w:gridCol w:w="962"/>
      </w:tblGrid>
      <w:tr>
        <w:trPr>
          <w:trHeight w:hRule="atLeast" w:val="645"/>
        </w:trPr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D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5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 (индикатора)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26</w:t>
            </w:r>
            <w:r>
              <w:rPr>
                <w:sz w:val="28"/>
              </w:rPr>
              <w:t xml:space="preserve"> год</w:t>
            </w:r>
          </w:p>
        </w:tc>
      </w:tr>
      <w:tr>
        <w:trPr>
          <w:trHeight w:hRule="atLeast" w:val="1289"/>
        </w:trPr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Соотношение муниципального долга  Крапивинского муниципального округа к общему годовому объему доходов</w:t>
            </w:r>
            <w:r>
              <w:rPr>
                <w:sz w:val="28"/>
              </w:rPr>
              <w:t xml:space="preserve"> местного</w:t>
            </w:r>
            <w:r>
              <w:rPr>
                <w:sz w:val="28"/>
              </w:rPr>
              <w:t xml:space="preserve"> бюджета без учета утвержденного объема безвозмездных поступлений и (или) поступлений налоговых доходов по дополнительным нормативам</w:t>
            </w:r>
            <w:r>
              <w:rPr>
                <w:sz w:val="28"/>
              </w:rPr>
              <w:t xml:space="preserve"> отчислений от налога на доходы физических лиц</w:t>
            </w:r>
            <w:r>
              <w:rPr>
                <w:sz w:val="28"/>
              </w:rPr>
              <w:t>, процентов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widowControl w:val="0"/>
              <w:ind w:firstLine="851" w:left="0"/>
              <w:jc w:val="center"/>
              <w:rPr>
                <w:sz w:val="28"/>
              </w:rPr>
            </w:pPr>
          </w:p>
          <w:p w14:paraId="5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≤5</w:t>
            </w:r>
            <w:r>
              <w:rPr>
                <w:sz w:val="28"/>
              </w:rPr>
              <w:t>0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ind w:firstLine="851" w:left="0"/>
              <w:jc w:val="center"/>
              <w:rPr>
                <w:sz w:val="28"/>
              </w:rPr>
            </w:pPr>
          </w:p>
          <w:p w14:paraId="57000000">
            <w:pPr>
              <w:ind/>
              <w:jc w:val="center"/>
            </w:pPr>
            <w:r>
              <w:rPr>
                <w:sz w:val="28"/>
              </w:rPr>
              <w:t>≤5</w:t>
            </w:r>
            <w:r>
              <w:rPr>
                <w:sz w:val="28"/>
              </w:rPr>
              <w:t>0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ind w:firstLine="851" w:left="0"/>
              <w:jc w:val="center"/>
              <w:rPr>
                <w:sz w:val="28"/>
              </w:rPr>
            </w:pPr>
          </w:p>
          <w:p w14:paraId="59000000">
            <w:pPr>
              <w:ind/>
              <w:jc w:val="center"/>
            </w:pPr>
            <w:r>
              <w:rPr>
                <w:sz w:val="28"/>
              </w:rPr>
              <w:t>≤</w:t>
            </w:r>
            <w:r>
              <w:rPr>
                <w:sz w:val="28"/>
              </w:rPr>
              <w:t>50</w:t>
            </w:r>
          </w:p>
        </w:tc>
      </w:tr>
      <w:tr>
        <w:trPr>
          <w:trHeight w:hRule="atLeast" w:val="2256"/>
        </w:trPr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Отношение расходов на обслуживание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долга </w:t>
            </w:r>
            <w:r>
              <w:rPr>
                <w:sz w:val="28"/>
              </w:rPr>
              <w:t xml:space="preserve"> Крапивинского</w:t>
            </w:r>
            <w:r>
              <w:rPr>
                <w:sz w:val="28"/>
              </w:rPr>
              <w:t xml:space="preserve"> муниципального округа</w:t>
            </w:r>
            <w:r>
              <w:rPr>
                <w:sz w:val="28"/>
              </w:rPr>
              <w:t xml:space="preserve"> по данным отчета об исполнении </w:t>
            </w:r>
            <w:r>
              <w:rPr>
                <w:sz w:val="28"/>
              </w:rPr>
              <w:t xml:space="preserve"> местного</w:t>
            </w:r>
            <w:r>
              <w:rPr>
                <w:sz w:val="28"/>
              </w:rPr>
              <w:t xml:space="preserve"> бюджета за отчетный финансовый год к объему расходов </w:t>
            </w:r>
            <w:r>
              <w:rPr>
                <w:sz w:val="28"/>
              </w:rPr>
              <w:t xml:space="preserve">местного </w:t>
            </w:r>
            <w:r>
              <w:rPr>
                <w:sz w:val="28"/>
              </w:rPr>
              <w:t>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>
              <w:rPr>
                <w:sz w:val="28"/>
              </w:rPr>
              <w:t>, процентов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widowControl w:val="0"/>
              <w:ind w:firstLine="851" w:left="0"/>
              <w:jc w:val="center"/>
              <w:rPr>
                <w:sz w:val="28"/>
              </w:rPr>
            </w:pPr>
          </w:p>
          <w:p w14:paraId="5D000000">
            <w:pPr>
              <w:widowControl w:val="0"/>
              <w:ind w:firstLine="851" w:left="0"/>
              <w:jc w:val="center"/>
              <w:rPr>
                <w:sz w:val="28"/>
              </w:rPr>
            </w:pPr>
          </w:p>
          <w:p w14:paraId="5E000000">
            <w:pPr>
              <w:widowControl w:val="0"/>
              <w:ind/>
              <w:jc w:val="center"/>
              <w:rPr>
                <w:sz w:val="28"/>
              </w:rPr>
            </w:pPr>
          </w:p>
          <w:p w14:paraId="5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≤5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widowControl w:val="0"/>
              <w:ind w:firstLine="851" w:left="0"/>
              <w:jc w:val="center"/>
              <w:rPr>
                <w:sz w:val="28"/>
              </w:rPr>
            </w:pPr>
          </w:p>
          <w:p w14:paraId="61000000">
            <w:pPr>
              <w:widowControl w:val="0"/>
              <w:ind w:firstLine="851" w:left="0"/>
              <w:jc w:val="center"/>
              <w:rPr>
                <w:sz w:val="28"/>
              </w:rPr>
            </w:pPr>
          </w:p>
          <w:p w14:paraId="62000000">
            <w:pPr>
              <w:widowControl w:val="0"/>
              <w:ind/>
              <w:jc w:val="center"/>
              <w:rPr>
                <w:sz w:val="28"/>
              </w:rPr>
            </w:pPr>
          </w:p>
          <w:p w14:paraId="6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≤5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widowControl w:val="0"/>
              <w:ind w:firstLine="851" w:left="0"/>
              <w:jc w:val="center"/>
              <w:rPr>
                <w:sz w:val="28"/>
              </w:rPr>
            </w:pPr>
          </w:p>
          <w:p w14:paraId="65000000">
            <w:pPr>
              <w:widowControl w:val="0"/>
              <w:ind w:firstLine="851" w:left="0"/>
              <w:jc w:val="center"/>
              <w:rPr>
                <w:sz w:val="28"/>
              </w:rPr>
            </w:pPr>
          </w:p>
          <w:p w14:paraId="66000000">
            <w:pPr>
              <w:widowControl w:val="0"/>
              <w:ind/>
              <w:jc w:val="center"/>
              <w:rPr>
                <w:sz w:val="28"/>
              </w:rPr>
            </w:pPr>
          </w:p>
          <w:p w14:paraId="6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≤5</w:t>
            </w:r>
          </w:p>
        </w:tc>
      </w:tr>
    </w:tbl>
    <w:p w14:paraId="68000000">
      <w:pPr>
        <w:ind/>
        <w:jc w:val="both"/>
        <w:rPr>
          <w:sz w:val="28"/>
        </w:rPr>
      </w:pPr>
    </w:p>
    <w:sectPr>
      <w:footerReference r:id="rId1" w:type="default"/>
      <w:pgSz w:h="16838" w:orient="portrait" w:w="11906"/>
      <w:pgMar w:bottom="851" w:footer="709" w:gutter="0" w:header="709" w:left="1701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567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blk"/>
    <w:link w:val="Style_3_ch"/>
  </w:style>
  <w:style w:styleId="Style_3_ch" w:type="character">
    <w:name w:val="blk"/>
    <w:link w:val="Style_3"/>
  </w:style>
  <w:style w:styleId="Style_12" w:type="paragraph">
    <w:name w:val="header"/>
    <w:basedOn w:val="Style_5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5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Balloon Text"/>
    <w:basedOn w:val="Style_5"/>
    <w:link w:val="Style_17_ch"/>
    <w:rPr>
      <w:rFonts w:ascii="Tahoma" w:hAnsi="Tahoma"/>
      <w:sz w:val="16"/>
    </w:rPr>
  </w:style>
  <w:style w:styleId="Style_17_ch" w:type="character">
    <w:name w:val="Balloon Text"/>
    <w:basedOn w:val="Style_5_ch"/>
    <w:link w:val="Style_17"/>
    <w:rPr>
      <w:rFonts w:ascii="Tahoma" w:hAnsi="Tahoma"/>
      <w:sz w:val="16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25" w:type="paragraph">
    <w:name w:val="List Paragraph"/>
    <w:basedOn w:val="Style_5"/>
    <w:link w:val="Style_25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5_ch" w:type="character">
    <w:name w:val="List Paragraph"/>
    <w:basedOn w:val="Style_5_ch"/>
    <w:link w:val="Style_25"/>
    <w:rPr>
      <w:rFonts w:ascii="Calibri" w:hAnsi="Calibri"/>
      <w:sz w:val="22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2024-06-07T07:56:39Z</dcterms:modified>
</cp:coreProperties>
</file>