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Экспертиза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проекта решения Совета народных депутатов Крапивинского муниципального округа "О бюджете Крапивинского муниципального округа на 2025 год и плановый период 2026 и 2027годов".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>Представленный администрацией Крапивинского муниципального округа</w:t>
      </w:r>
      <w:r>
        <w:rPr>
          <w:sz w:val="28"/>
        </w:rPr>
        <w:t xml:space="preserve"> проект бюджета Крапивинского муниципального округа на 2025 год и плановый период 2026 и 2027 годов сформирован в соответствии с действующим налоговым законодательством Российской Федерации, бюджетным Кодексом Российской Федерации, исходя из проекта Закона</w:t>
      </w:r>
      <w:r>
        <w:rPr>
          <w:sz w:val="28"/>
        </w:rPr>
        <w:t xml:space="preserve"> Кемеровской области - Кузбасса «Об областном бюджете на 2025 год и плановый период 2026 и 2027 годов», с </w:t>
      </w:r>
      <w:r>
        <w:rPr>
          <w:sz w:val="28"/>
        </w:rPr>
        <w:t>учетом Положений Постановления администрации Крапивинского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округа от 12.11.2024 </w:t>
      </w:r>
      <w:r>
        <w:rPr>
          <w:sz w:val="28"/>
        </w:rPr>
        <w:t>№1510 «Об основных</w:t>
      </w:r>
      <w:r>
        <w:rPr>
          <w:sz w:val="28"/>
        </w:rPr>
        <w:t xml:space="preserve"> направлениях бюджетной и налоговой политики Крапивинского муниципального округа на 2025 год и плановый период 2026 и 2027 годов», ожидаемых итогов социально-экономического развития округа за 2024 год, на основе п</w:t>
      </w:r>
      <w:r>
        <w:rPr>
          <w:sz w:val="28"/>
        </w:rPr>
        <w:t>оказателей прогноза социально-экономического развития Крапивинского муниципального округа, утвержденного постановлением администрации Крапивинского муниципального округа от 11.07.2024 №918 "Об утверждении</w:t>
      </w:r>
      <w:r>
        <w:rPr>
          <w:sz w:val="28"/>
        </w:rPr>
        <w:t xml:space="preserve"> прогноза социально-экономического развития Крапив</w:t>
      </w:r>
      <w:r>
        <w:rPr>
          <w:sz w:val="28"/>
        </w:rPr>
        <w:t>инского муниципального округа на 2025 год и на плановый период до 2027 года.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>Цель проекта бюджета - финансовое обеспечение задач и функций орг</w:t>
      </w:r>
      <w:r>
        <w:rPr>
          <w:sz w:val="28"/>
        </w:rPr>
        <w:t>а</w:t>
      </w:r>
      <w:r>
        <w:rPr>
          <w:sz w:val="28"/>
        </w:rPr>
        <w:t>нов местного самоуправления Крапивинского муниципального округа</w:t>
      </w:r>
      <w:r>
        <w:rPr>
          <w:sz w:val="28"/>
        </w:rPr>
        <w:t>.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положениями статей 170 и 172 Бюджетного Кодекса РФ составление бюджета основывалось:</w:t>
      </w:r>
    </w:p>
    <w:p w14:paraId="08000000">
      <w:pPr>
        <w:ind w:firstLine="709" w:left="0"/>
        <w:jc w:val="both"/>
        <w:rPr>
          <w:color w:val="FF0000"/>
          <w:sz w:val="28"/>
        </w:rPr>
      </w:pPr>
      <w:r>
        <w:rPr>
          <w:sz w:val="28"/>
        </w:rPr>
        <w:t>- на решении Совета народных депутатов Крапивинского муниципального округа от 08.11.2021 №273 «Об утверждении Положения "О бюджетном процессе в Крапивинском муниципальном округе»</w:t>
      </w:r>
      <w:r>
        <w:rPr>
          <w:color w:val="000000"/>
          <w:sz w:val="28"/>
        </w:rPr>
        <w:t>;</w:t>
      </w:r>
    </w:p>
    <w:p w14:paraId="09000000">
      <w:pPr>
        <w:ind w:firstLine="709" w:left="0"/>
        <w:jc w:val="both"/>
        <w:rPr>
          <w:color w:val="FF0000"/>
          <w:sz w:val="28"/>
        </w:rPr>
      </w:pPr>
      <w:r>
        <w:rPr>
          <w:sz w:val="28"/>
        </w:rPr>
        <w:t xml:space="preserve">- на постановлении администрации Крапивинского муниципального округа от 11.11.2021 №1517 «Об утверждении </w:t>
      </w:r>
      <w:r>
        <w:rPr>
          <w:sz w:val="28"/>
        </w:rPr>
        <w:t>Порядка составления проекта бюджета Крапиви</w:t>
      </w:r>
      <w:r>
        <w:rPr>
          <w:sz w:val="28"/>
        </w:rPr>
        <w:t>нского муниципального округа</w:t>
      </w:r>
      <w:r>
        <w:rPr>
          <w:sz w:val="28"/>
        </w:rPr>
        <w:t xml:space="preserve"> на очередной финансовый год и плановый период»;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- на основе показателей прогноза социально-экономического развития Крапивинского муниципального округа на 2025 год и плановый период до 2027 года;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- на основных направлениях бюдже</w:t>
      </w:r>
      <w:r>
        <w:rPr>
          <w:sz w:val="28"/>
        </w:rPr>
        <w:t>тной и налоговой политики.</w:t>
      </w:r>
    </w:p>
    <w:p w14:paraId="0C000000">
      <w:pPr>
        <w:ind/>
        <w:jc w:val="both"/>
        <w:rPr>
          <w:b w:val="1"/>
          <w:color w:val="FF0000"/>
          <w:sz w:val="28"/>
        </w:rPr>
      </w:pPr>
    </w:p>
    <w:p w14:paraId="0D000000">
      <w:pPr>
        <w:ind/>
        <w:jc w:val="both"/>
        <w:rPr>
          <w:b w:val="1"/>
          <w:color w:val="FF0000"/>
          <w:sz w:val="28"/>
        </w:rPr>
      </w:pPr>
    </w:p>
    <w:p w14:paraId="0E000000">
      <w:pPr>
        <w:ind/>
        <w:jc w:val="both"/>
        <w:rPr>
          <w:b w:val="1"/>
          <w:color w:val="FF0000"/>
          <w:sz w:val="28"/>
        </w:rPr>
      </w:pPr>
    </w:p>
    <w:p w14:paraId="0F00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Доходы</w:t>
      </w:r>
    </w:p>
    <w:p w14:paraId="10000000">
      <w:pPr>
        <w:ind w:firstLine="720" w:left="0"/>
        <w:jc w:val="center"/>
        <w:rPr>
          <w:b w:val="1"/>
          <w:sz w:val="28"/>
        </w:rPr>
      </w:pPr>
    </w:p>
    <w:p w14:paraId="11000000">
      <w:pPr>
        <w:ind w:firstLine="720" w:left="0"/>
        <w:jc w:val="both"/>
        <w:rPr>
          <w:sz w:val="28"/>
        </w:rPr>
      </w:pPr>
      <w:r>
        <w:rPr>
          <w:sz w:val="28"/>
        </w:rPr>
        <w:t>Доходная часть бюджета округа состоит из налоговых и неналоговых доходов и безвозмездных поступлений из вышестоящего бюджета.</w:t>
      </w:r>
    </w:p>
    <w:p w14:paraId="12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Общий объем доходов бюджета округа на 2025 год в целом составит </w:t>
      </w:r>
      <w:r>
        <w:rPr>
          <w:sz w:val="28"/>
        </w:rPr>
        <w:t>1494,8</w:t>
      </w:r>
      <w:r>
        <w:rPr>
          <w:sz w:val="28"/>
        </w:rPr>
        <w:t xml:space="preserve"> млн. рублей, в </w:t>
      </w:r>
      <w:r>
        <w:rPr>
          <w:sz w:val="28"/>
        </w:rPr>
        <w:t>т.ч</w:t>
      </w:r>
      <w:r>
        <w:rPr>
          <w:sz w:val="28"/>
        </w:rPr>
        <w:t xml:space="preserve">. налоговые и неналоговые доходы предусмотрены в сумме 351,6 </w:t>
      </w:r>
      <w:r>
        <w:rPr>
          <w:sz w:val="28"/>
        </w:rPr>
        <w:t>млн</w:t>
      </w:r>
      <w:r>
        <w:rPr>
          <w:sz w:val="28"/>
        </w:rPr>
        <w:t>.р</w:t>
      </w:r>
      <w:r>
        <w:rPr>
          <w:sz w:val="28"/>
        </w:rPr>
        <w:t>ублей</w:t>
      </w:r>
      <w:r>
        <w:rPr>
          <w:sz w:val="28"/>
        </w:rPr>
        <w:t xml:space="preserve">, или 23,5% от общего объема доходов, безвозмездные поступления - 1143,3 </w:t>
      </w:r>
      <w:r>
        <w:rPr>
          <w:sz w:val="28"/>
        </w:rPr>
        <w:t>млн.рублей</w:t>
      </w:r>
      <w:r>
        <w:rPr>
          <w:sz w:val="28"/>
        </w:rPr>
        <w:t>, или 76,48</w:t>
      </w:r>
      <w:r>
        <w:rPr>
          <w:sz w:val="28"/>
        </w:rPr>
        <w:t xml:space="preserve"> %.</w:t>
      </w:r>
    </w:p>
    <w:p w14:paraId="13000000">
      <w:pPr>
        <w:ind w:firstLine="720" w:left="0"/>
        <w:jc w:val="both"/>
        <w:rPr>
          <w:sz w:val="28"/>
        </w:rPr>
      </w:pPr>
      <w:r>
        <w:rPr>
          <w:sz w:val="28"/>
        </w:rPr>
        <w:t>Общий объем доходов бюджета муниципального округа на 2026 год</w:t>
      </w:r>
      <w:r>
        <w:rPr>
          <w:sz w:val="28"/>
        </w:rPr>
        <w:t xml:space="preserve"> составит 1513,8 млн. рублей и на 2026 год - 1635,5 </w:t>
      </w:r>
      <w:r>
        <w:rPr>
          <w:sz w:val="28"/>
        </w:rPr>
        <w:t>млн</w:t>
      </w:r>
      <w:r>
        <w:rPr>
          <w:sz w:val="28"/>
        </w:rPr>
        <w:t>.р</w:t>
      </w:r>
      <w:r>
        <w:rPr>
          <w:sz w:val="28"/>
        </w:rPr>
        <w:t>ублей</w:t>
      </w:r>
      <w:r>
        <w:rPr>
          <w:sz w:val="28"/>
        </w:rPr>
        <w:t xml:space="preserve">. </w:t>
      </w:r>
    </w:p>
    <w:p w14:paraId="14000000">
      <w:pPr>
        <w:ind w:firstLine="720" w:left="0"/>
        <w:jc w:val="both"/>
        <w:rPr>
          <w:sz w:val="28"/>
        </w:rPr>
      </w:pPr>
      <w:r>
        <w:rPr>
          <w:sz w:val="28"/>
        </w:rPr>
        <w:t>Основ</w:t>
      </w:r>
      <w:r>
        <w:rPr>
          <w:sz w:val="28"/>
        </w:rPr>
        <w:t>н</w:t>
      </w:r>
      <w:r>
        <w:rPr>
          <w:sz w:val="28"/>
        </w:rPr>
        <w:t>ые источники налоговых поступлений в бюджет округа:</w:t>
      </w:r>
    </w:p>
    <w:p w14:paraId="15000000">
      <w:pPr>
        <w:ind w:firstLine="720" w:left="0"/>
        <w:jc w:val="both"/>
        <w:rPr>
          <w:sz w:val="28"/>
        </w:rPr>
      </w:pPr>
      <w:r>
        <w:rPr>
          <w:sz w:val="28"/>
        </w:rPr>
        <w:t>- налог на доходы физических лиц на 2025 год рассчитан в сумме 219,0</w:t>
      </w:r>
      <w:r>
        <w:rPr>
          <w:sz w:val="28"/>
        </w:rPr>
        <w:t xml:space="preserve"> млн. рублей, что составляет</w:t>
      </w:r>
      <w:r>
        <w:rPr>
          <w:sz w:val="28"/>
        </w:rPr>
        <w:t xml:space="preserve"> </w:t>
      </w:r>
      <w:r>
        <w:rPr>
          <w:sz w:val="28"/>
        </w:rPr>
        <w:t>112,8</w:t>
      </w:r>
      <w:r>
        <w:rPr>
          <w:sz w:val="28"/>
        </w:rPr>
        <w:t xml:space="preserve">% от ожидаемого поступления в </w:t>
      </w:r>
      <w:r>
        <w:rPr>
          <w:sz w:val="28"/>
        </w:rPr>
        <w:t>2024 году, на 2026 год –234,2 млн. руб., н</w:t>
      </w:r>
      <w:r>
        <w:rPr>
          <w:sz w:val="28"/>
        </w:rPr>
        <w:t>а 2027 год - 253,0</w:t>
      </w:r>
      <w:r>
        <w:rPr>
          <w:sz w:val="28"/>
        </w:rPr>
        <w:t xml:space="preserve"> млн. руб.;</w:t>
      </w:r>
    </w:p>
    <w:p w14:paraId="1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акцизы по подакцизным товарам (продукции), производимым на территории РФ рассчитаны на 2025 год в сумме 21,3 млн. руб., на 2026 год -22,7 млн. руб., на 2027 год – 22,3 млн. </w:t>
      </w:r>
      <w:r>
        <w:rPr>
          <w:sz w:val="28"/>
        </w:rPr>
        <w:t>руб.;</w:t>
      </w:r>
    </w:p>
    <w:p w14:paraId="17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налог, взимаемый в связи с применением упрощенной системы налогообложения, запланирован на 2025 год в сумме 31,5 млн. руб., на 2026 год – 32,8 </w:t>
      </w:r>
      <w:r>
        <w:rPr>
          <w:sz w:val="28"/>
        </w:rPr>
        <w:t>млн</w:t>
      </w:r>
      <w:r>
        <w:rPr>
          <w:sz w:val="28"/>
        </w:rPr>
        <w:t>.р</w:t>
      </w:r>
      <w:r>
        <w:rPr>
          <w:sz w:val="28"/>
        </w:rPr>
        <w:t>уб</w:t>
      </w:r>
      <w:r>
        <w:rPr>
          <w:sz w:val="28"/>
        </w:rPr>
        <w:t xml:space="preserve">., на 2027 год – 23,8 </w:t>
      </w:r>
      <w:r>
        <w:rPr>
          <w:sz w:val="28"/>
        </w:rPr>
        <w:t>млн.руб</w:t>
      </w:r>
      <w:r>
        <w:rPr>
          <w:sz w:val="28"/>
        </w:rPr>
        <w:t>.;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единый сельскохозяйственный налог, запланирован на 2025 год </w:t>
      </w:r>
      <w:r>
        <w:rPr>
          <w:sz w:val="28"/>
        </w:rPr>
        <w:t>в сумме 5,0 млн. руб., на 2026 год –6,06 млн. руб., на 2027 год – 6,37 млн. руб.;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- налог, в</w:t>
      </w:r>
      <w:r>
        <w:rPr>
          <w:sz w:val="28"/>
        </w:rPr>
        <w:t>з</w:t>
      </w:r>
      <w:r>
        <w:rPr>
          <w:sz w:val="28"/>
        </w:rPr>
        <w:t xml:space="preserve">имаемый в связи с применением патентной системы налогообложения, планируется получить в 2025 году в сумме 3,05 </w:t>
      </w:r>
      <w:r>
        <w:rPr>
          <w:sz w:val="28"/>
        </w:rPr>
        <w:t>млн</w:t>
      </w:r>
      <w:r>
        <w:rPr>
          <w:sz w:val="28"/>
        </w:rPr>
        <w:t>.р</w:t>
      </w:r>
      <w:r>
        <w:rPr>
          <w:sz w:val="28"/>
        </w:rPr>
        <w:t>уб</w:t>
      </w:r>
      <w:r>
        <w:rPr>
          <w:sz w:val="28"/>
        </w:rPr>
        <w:t>., в 2026 году - 3,22</w:t>
      </w:r>
      <w:r>
        <w:rPr>
          <w:sz w:val="28"/>
        </w:rPr>
        <w:t xml:space="preserve"> </w:t>
      </w:r>
      <w:r>
        <w:rPr>
          <w:sz w:val="28"/>
        </w:rPr>
        <w:t>млн.руб</w:t>
      </w:r>
      <w:r>
        <w:rPr>
          <w:sz w:val="28"/>
        </w:rPr>
        <w:t>., в 2027 году - 3,40</w:t>
      </w:r>
      <w:r>
        <w:rPr>
          <w:sz w:val="28"/>
        </w:rPr>
        <w:t xml:space="preserve"> </w:t>
      </w:r>
      <w:r>
        <w:rPr>
          <w:sz w:val="28"/>
        </w:rPr>
        <w:t>млн.руб</w:t>
      </w:r>
      <w:r>
        <w:rPr>
          <w:sz w:val="28"/>
        </w:rPr>
        <w:t>.;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трансп</w:t>
      </w:r>
      <w:r>
        <w:rPr>
          <w:sz w:val="28"/>
        </w:rPr>
        <w:t>о</w:t>
      </w:r>
      <w:r>
        <w:rPr>
          <w:sz w:val="28"/>
        </w:rPr>
        <w:t xml:space="preserve">ртный налог планируется на 2025 год 590,0 тыс.руб.,на 2026 год -595 тыс.руб., на 2027 год в сумме </w:t>
      </w:r>
      <w:bookmarkStart w:id="1" w:name="_GoBack"/>
      <w:bookmarkEnd w:id="1"/>
      <w:r>
        <w:rPr>
          <w:sz w:val="28"/>
        </w:rPr>
        <w:t xml:space="preserve">600,0 </w:t>
      </w:r>
      <w:r>
        <w:rPr>
          <w:sz w:val="28"/>
        </w:rPr>
        <w:t>тыс. руб.;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- налог на имущество физических лиц на 2025 год планируется 2945,0 тыс.руб., на 2026 год 2960,0 тыс.руб., на 2027 год запланирован в сумме 2985,0 тыс.</w:t>
      </w:r>
      <w:r>
        <w:rPr>
          <w:sz w:val="28"/>
        </w:rPr>
        <w:t>р</w:t>
      </w:r>
      <w:r>
        <w:rPr>
          <w:sz w:val="28"/>
        </w:rPr>
        <w:t>уб</w:t>
      </w:r>
      <w:r>
        <w:rPr>
          <w:sz w:val="28"/>
        </w:rPr>
        <w:t>.;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- земельный налог запланирован на 2025 год в размере 21,6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>.р</w:t>
      </w:r>
      <w:r>
        <w:rPr>
          <w:sz w:val="28"/>
        </w:rPr>
        <w:t>уб</w:t>
      </w:r>
      <w:r>
        <w:rPr>
          <w:sz w:val="28"/>
        </w:rPr>
        <w:t xml:space="preserve">., на 2026 год – 21,7 </w:t>
      </w:r>
      <w:r>
        <w:rPr>
          <w:sz w:val="28"/>
        </w:rPr>
        <w:t>млн.руб</w:t>
      </w:r>
      <w:r>
        <w:rPr>
          <w:sz w:val="28"/>
        </w:rPr>
        <w:t xml:space="preserve">., на 2027 год – 21,76 </w:t>
      </w:r>
      <w:r>
        <w:rPr>
          <w:sz w:val="28"/>
        </w:rPr>
        <w:t>млн.руб</w:t>
      </w:r>
      <w:r>
        <w:rPr>
          <w:sz w:val="28"/>
        </w:rPr>
        <w:t xml:space="preserve">.; 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- государственная пошлина по делам, рассматриваемым в судах общей юрисдикции, госпошлина за совершение нотариальных действий, госпошлина от размещения рекламы планируется в 2025 году в с</w:t>
      </w:r>
      <w:r>
        <w:rPr>
          <w:sz w:val="28"/>
        </w:rPr>
        <w:t xml:space="preserve">умме 3,5 млн. руб., в 2026 году – 3,6 млн. руб., в 2027 году – </w:t>
      </w:r>
      <w:r>
        <w:rPr>
          <w:sz w:val="28"/>
        </w:rPr>
        <w:t>3,7 млн. руб.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Дох</w:t>
      </w:r>
      <w:r>
        <w:rPr>
          <w:sz w:val="28"/>
        </w:rPr>
        <w:t>од</w:t>
      </w:r>
      <w:r>
        <w:rPr>
          <w:sz w:val="28"/>
        </w:rPr>
        <w:t>ы от использования имущества, находящегося в муниципальной собственности Крапивинского муниципального округа прогнозируются на 2025 год в сумме 34,82 млн. руб., на 2026-2027 года – 34,82 млн.руб.;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Основную долю неналоговых доходов составляют доходы от сдачи в аренду земельных участков, в 2025-2027 годы планируется поступление в сумме 28,8 млн. руб.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Кроме этого, запланированы поступления прочих неналоговых доходов: от продажи муниципального имущества и земельных участков, от оказания платных услуг казенными учреждениями, от платы за негативное воздействи</w:t>
      </w:r>
      <w:r>
        <w:rPr>
          <w:sz w:val="28"/>
        </w:rPr>
        <w:t>е на окружающую среду и прочих безвозмездных поступлений.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соответствие с проектом Закона Кемеровской области - </w:t>
      </w:r>
      <w:r>
        <w:rPr>
          <w:sz w:val="28"/>
        </w:rPr>
        <w:t>Кузбасса «Об областном бюджете на 2025 год и плановый период 2026 и 2027 годов», проектом бюджета округа предусмотрены безвоз</w:t>
      </w:r>
      <w:r>
        <w:rPr>
          <w:sz w:val="28"/>
        </w:rPr>
        <w:t>мездные поступления в виде дотации, субсидии, субвенции на 2025 год в сумме 1133,3 млн. руб., на 2026 год - 1132,7 млн. руб., на 2027 год - 1244,2 млн. руб.</w:t>
      </w:r>
    </w:p>
    <w:p w14:paraId="22000000">
      <w:pPr>
        <w:ind w:firstLine="709" w:left="0"/>
        <w:jc w:val="both"/>
        <w:rPr>
          <w:sz w:val="28"/>
        </w:rPr>
      </w:pPr>
    </w:p>
    <w:p w14:paraId="23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Расходы</w:t>
      </w:r>
    </w:p>
    <w:p w14:paraId="24000000">
      <w:pPr>
        <w:ind w:firstLine="709" w:left="0"/>
        <w:jc w:val="both"/>
        <w:rPr>
          <w:sz w:val="28"/>
        </w:rPr>
      </w:pP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Расходная часть бюджета на 2025 год и плановый период 2026 и 2027 годов сформирована </w:t>
      </w:r>
      <w:r>
        <w:rPr>
          <w:sz w:val="28"/>
        </w:rPr>
        <w:t>исходя из объема действующих расходных обязатель</w:t>
      </w:r>
      <w:r>
        <w:rPr>
          <w:sz w:val="28"/>
        </w:rPr>
        <w:t>ств в 2023 году, с учетом безусловного исполнения всех принятых публичных нормативных обязательств, сохранения мер</w:t>
      </w:r>
      <w:r>
        <w:rPr>
          <w:sz w:val="28"/>
        </w:rPr>
        <w:t xml:space="preserve"> социальной поддержки населения с применением принципа адресности и нуждаемости, действия Федерального закона от 29.10.2024 №365-ФЗ (увеличение МРОТ на 2025 год)</w:t>
      </w:r>
      <w:r>
        <w:rPr>
          <w:sz w:val="28"/>
        </w:rPr>
        <w:t>.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Общий объем расходных обязательств составляет:</w:t>
      </w:r>
    </w:p>
    <w:p w14:paraId="27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на 2025 год в сумме 1504,1 млн. руб.;</w:t>
      </w:r>
    </w:p>
    <w:p w14:paraId="28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на 2026 год в сумме 1523,5 млн. руб.;</w:t>
      </w:r>
    </w:p>
    <w:p w14:paraId="29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на 2027 год в сумме 1645,0 млн. руб.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В проекте бюджета предусмотрены средства на реализацию национальных проектов, направленных на достижение соответствующих результатов реализации федеральных проектов, обеспечивающих достижение национальных целей, поставленных Указом Президента Российской Федерации от 21 июля 2020 № 474 «О национальных целях развития Российской Федерации на период до 2030 года и на перспективу до 2036 года». Общий объем ассигнований, предусмотренный на реализацию национальных проектов в Крапивинском муниципальном округе</w:t>
      </w:r>
      <w:r>
        <w:rPr>
          <w:sz w:val="28"/>
        </w:rPr>
        <w:t>,</w:t>
      </w:r>
      <w:r>
        <w:rPr>
          <w:sz w:val="28"/>
        </w:rPr>
        <w:t xml:space="preserve"> представлен в таблице1.</w:t>
      </w:r>
    </w:p>
    <w:p w14:paraId="2B000000">
      <w:pPr>
        <w:ind w:firstLine="709" w:left="0"/>
        <w:jc w:val="both"/>
        <w:rPr>
          <w:sz w:val="28"/>
        </w:rPr>
      </w:pPr>
    </w:p>
    <w:p w14:paraId="2C000000">
      <w:pPr>
        <w:ind w:firstLine="709" w:left="0"/>
        <w:jc w:val="right"/>
      </w:pPr>
      <w:r>
        <w:t>тыс. рублей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94"/>
        <w:gridCol w:w="1543"/>
        <w:gridCol w:w="1543"/>
        <w:gridCol w:w="1506"/>
      </w:tblGrid>
      <w:tr>
        <w:tc>
          <w:tcPr>
            <w:tcW w:type="dxa" w:w="4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 w:firstLine="0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 w:firstLine="0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 w:firstLine="0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 w:firstLine="0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  <w:tr>
        <w:trPr>
          <w:trHeight w:hRule="atLeast" w:val="443"/>
        </w:trPr>
        <w:tc>
          <w:tcPr>
            <w:tcW w:type="dxa" w:w="4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ind w:firstLine="0" w:left="0" w:right="-108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по национальным проектам 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5758,2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6413,2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6413,2</w:t>
            </w:r>
          </w:p>
        </w:tc>
      </w:tr>
      <w:tr>
        <w:tc>
          <w:tcPr>
            <w:tcW w:type="dxa" w:w="4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 w:firstLine="0" w:left="0" w:right="-108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Реализация мероприятий национального проекта «Образование»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59,2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714,2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714,2</w:t>
            </w:r>
          </w:p>
        </w:tc>
      </w:tr>
      <w:tr>
        <w:tc>
          <w:tcPr>
            <w:tcW w:type="dxa" w:w="4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ind w:firstLine="0" w:left="0" w:right="-108"/>
              <w:contextualSpacing w:val="1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Региональный проект «Патриотическое воспитание граждан Российской Федерации (Кемеровская область - Кузбасс)»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(межбюджетный трансферт из областного бюджета)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right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59,2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right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714,2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/>
              <w:jc w:val="right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714,2</w:t>
            </w:r>
          </w:p>
        </w:tc>
      </w:tr>
      <w:tr>
        <w:tc>
          <w:tcPr>
            <w:tcW w:type="dxa" w:w="4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 w:firstLine="0" w:left="0" w:right="-108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Реализация мероприятий национального проекта «Демография»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5699,0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5699,0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5699,0</w:t>
            </w:r>
          </w:p>
        </w:tc>
      </w:tr>
      <w:tr>
        <w:tc>
          <w:tcPr>
            <w:tcW w:type="dxa" w:w="4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Региональный проект «Финансовая поддержка семей при рождении детей» </w:t>
            </w:r>
            <w:r>
              <w:rPr>
                <w:b w:val="0"/>
                <w:i w:val="1"/>
              </w:rPr>
              <w:t>(</w:t>
            </w:r>
            <w:r>
              <w:rPr>
                <w:b w:val="0"/>
                <w:i w:val="0"/>
              </w:rPr>
              <w:t>межбюджетный трансферт из областного бюджета)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ind/>
              <w:jc w:val="right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5699,0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right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5699,0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right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5699,0</w:t>
            </w:r>
          </w:p>
        </w:tc>
      </w:tr>
    </w:tbl>
    <w:p w14:paraId="45000000">
      <w:pPr>
        <w:ind w:firstLine="709" w:left="0"/>
        <w:jc w:val="both"/>
        <w:rPr>
          <w:sz w:val="28"/>
        </w:rPr>
      </w:pP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Реализация национальных проектов осуществляется в рамках утвержденных муниципальных программ Крапивинского муниципального округа.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постановлением администрации Крапивинского муниципального округа от 16.10.2024 №1364 «Об утверждении перечня муниципальных программ Крапивинского муниципального округа, реализация которых планируется в 2025 году и плановом периоде 2026 и 2027 годов», предусмотрено фи</w:t>
      </w:r>
      <w:r>
        <w:rPr>
          <w:sz w:val="28"/>
        </w:rPr>
        <w:t xml:space="preserve">нансирование 28 муниципальных программ, общий объем </w:t>
      </w:r>
      <w:r>
        <w:rPr>
          <w:sz w:val="28"/>
        </w:rPr>
        <w:t>расходных обязательств</w:t>
      </w:r>
      <w:r>
        <w:rPr>
          <w:sz w:val="28"/>
        </w:rPr>
        <w:t xml:space="preserve"> на реализацию которых составит: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- на 2025 год - 1501,3 млн. руб.;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- на 2026 год - 1506,0 млн. руб.;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- на 2027 год - 1610,3 млн. руб</w:t>
      </w:r>
      <w:r>
        <w:rPr>
          <w:sz w:val="28"/>
        </w:rPr>
        <w:t>.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Доля расходов в рамках программ составляет на 2025 год -</w:t>
      </w:r>
      <w:r>
        <w:rPr>
          <w:sz w:val="28"/>
        </w:rPr>
        <w:t xml:space="preserve"> 99,82%, на 2026 год – 98,85%, на 2027 год – 97,89%.</w:t>
      </w:r>
    </w:p>
    <w:p w14:paraId="4C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</w:t>
      </w:r>
      <w:r>
        <w:rPr>
          <w:rFonts w:ascii="Times New Roman" w:hAnsi="Times New Roman"/>
          <w:sz w:val="28"/>
        </w:rPr>
        <w:t xml:space="preserve">ию муниципальных программ </w:t>
      </w:r>
      <w:r>
        <w:rPr>
          <w:rFonts w:ascii="Times New Roman" w:hAnsi="Times New Roman"/>
          <w:sz w:val="28"/>
        </w:rPr>
        <w:t xml:space="preserve">в 2025 - 2027 годах </w:t>
      </w:r>
      <w:r>
        <w:rPr>
          <w:rFonts w:ascii="Times New Roman" w:hAnsi="Times New Roman"/>
          <w:sz w:val="28"/>
        </w:rPr>
        <w:t>предусмотрены бюджетные ассигнования в</w:t>
      </w:r>
      <w:r>
        <w:rPr>
          <w:rFonts w:ascii="Times New Roman" w:hAnsi="Times New Roman"/>
          <w:sz w:val="28"/>
        </w:rPr>
        <w:t xml:space="preserve"> представленные в таблице 2.</w:t>
      </w:r>
    </w:p>
    <w:p w14:paraId="4D00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E000000">
      <w:pPr>
        <w:ind w:firstLine="0" w:left="720"/>
        <w:contextualSpacing w:val="1"/>
        <w:jc w:val="right"/>
        <w:rPr/>
      </w:pPr>
      <w:r>
        <w:rPr/>
        <w:t>Таблица 2</w:t>
      </w:r>
    </w:p>
    <w:tbl>
      <w:tblPr>
        <w:tblStyle w:val="Style_1"/>
        <w:tblInd w:type="dxa" w:w="2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7"/>
          <w:left w:type="dxa" w:w="0"/>
          <w:bottom w:type="dxa" w:w="57"/>
          <w:right w:type="dxa" w:w="0"/>
        </w:tblCellMar>
      </w:tblPr>
      <w:tblGrid>
        <w:gridCol w:w="4678"/>
        <w:gridCol w:w="1343"/>
        <w:gridCol w:w="1577"/>
        <w:gridCol w:w="1332"/>
      </w:tblGrid>
      <w:tr>
        <w:trPr>
          <w:trHeight w:hRule="atLeast" w:val="752"/>
        </w:trPr>
        <w:tc>
          <w:tcPr>
            <w:tcW w:type="dxa" w:w="4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</w:t>
            </w:r>
          </w:p>
        </w:tc>
        <w:tc>
          <w:tcPr>
            <w:tcW w:type="dxa" w:w="4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Бюджетные ассигнования, предусмотренные на реализацию муниципальных программ по годам, тыс. рублей</w:t>
            </w:r>
          </w:p>
        </w:tc>
      </w:tr>
      <w:tr>
        <w:trPr>
          <w:trHeight w:hRule="atLeast" w:val="133"/>
        </w:trPr>
        <w:tc>
          <w:tcPr>
            <w:tcW w:type="dxa" w:w="4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2026год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Муниципальная программа «Организация местного самоуправления в Крапивинском муниципальном округе»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106793,3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104501,2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5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104545,8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«Развитие образования Крапивинского муниципального округа»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719247,5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718843,7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716868,7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«Социальная поддержка населения Крапивинского муниципального округа»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145953,5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145389,2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145389,2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«Культура Крапивинского муниципального округа»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161579,9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159124,9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158124,9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«Информационная обеспеченность жителей Крапивинского муниципального округа»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3800,0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3700,0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3700,0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«Имущественный комплекс Крапивинского муниципального округа»,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12850,0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10624,0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10624,0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«Развитие муниципального бюджетного учреждения «Автохозяйство Крапивинского муниципального округа»»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22750,0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23550,0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22550,0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«Жилищно-коммунальный комплекс, энергосбережение и повышение энергетической эффективности на территории Крапивинского муниципального округа»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166679,6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200486,9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338589,6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«Обеспечение безопасности жизнедеятельности населения и предприятий в Крапивинском муниципальном округе»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31032,7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20795,1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9981,4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«Развитие сферы малого и среднего предпринимательства в Крапивинском муниципальном округе»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</w:t>
            </w:r>
            <w:r>
              <w:rPr>
                <w:rFonts w:ascii="Times New Roman" w:hAnsi="Times New Roman"/>
                <w:sz w:val="22"/>
              </w:rPr>
              <w:t>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1"/>
                <w:sz w:val="22"/>
              </w:rPr>
              <w:t>«Модернизация объектов социальной сферы и жилого фонда Крапивинского муниципального округа»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10300,0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3000,0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3000,0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«Развитие информационного общества» в Крапивинском муниципальном округе</w:t>
            </w:r>
            <w:r>
              <w:rPr>
                <w:rFonts w:ascii="Times New Roman" w:hAnsi="Times New Roman"/>
                <w:b w:val="1"/>
                <w:sz w:val="22"/>
              </w:rPr>
              <w:t>,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3 2</w:t>
            </w:r>
            <w:r>
              <w:rPr>
                <w:rFonts w:ascii="Times New Roman" w:hAnsi="Times New Roman"/>
                <w:sz w:val="22"/>
              </w:rPr>
              <w:t>00,0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 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3500</w:t>
            </w:r>
            <w:r>
              <w:rPr>
                <w:rFonts w:ascii="Times New Roman" w:hAnsi="Times New Roman"/>
                <w:sz w:val="22"/>
              </w:rPr>
              <w:t>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Муниципальная программа «Развитие муниципальной службы Крапивинского муниципального </w:t>
            </w:r>
            <w:r>
              <w:rPr>
                <w:rFonts w:ascii="Times New Roman" w:hAnsi="Times New Roman"/>
                <w:b w:val="1"/>
                <w:sz w:val="22"/>
              </w:rPr>
              <w:t>округа</w:t>
            </w:r>
            <w:r>
              <w:rPr>
                <w:rFonts w:ascii="Times New Roman" w:hAnsi="Times New Roman"/>
                <w:b w:val="1"/>
                <w:sz w:val="22"/>
              </w:rPr>
              <w:t>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129,0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округа»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1552,0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1588,0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1588,0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«Жилище Крапивинского муниципального округа»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4751,8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9251,8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4173,1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Муниципальная программа «Благоустройство и дорожное хозяйство» на территории Крапивинского муниципального округа,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26086,0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23597,1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18700,2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«Профилактика безнадзорности и правонарушений несовершеннолетних»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650,1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650,1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«Улучшение условий и охраны труда в Крапивинском муниципальном округе»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2433,3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2300,9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1594,6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«Поддержка социально ориентированных некоммерческих организаций в Крапивинском муниципальном округе»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940,0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940,0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«Формирование современной городской среды в Крапивинском муниципальном округе»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7500,0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«Развитие туризма в Крапивинском муниципальном округе»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536,0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536,0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536,0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«Профилактика экстремизма» на территории Крапивинского муниципального округа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«Профилактика терроризма, минимизация и ликвидация последствий его проявлений» на территории Крапивинского муниципального округа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7339,5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6531,5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3175,0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 «Развитие физической культуры и спорта в Крапивинском муниципальном округе»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23080,9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19975,0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20005,0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Муниципальная программа «Предупреждение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1575,0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1500,0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1500,0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Муниципальная программа «Дорожное хозяйство и национальная экономика на территории Крапивинского муниципального округа»,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40500,0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45000,0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40000,0</w:t>
            </w:r>
          </w:p>
        </w:tc>
      </w:tr>
      <w:tr>
        <w:trPr>
          <w:trHeight w:hRule="atLeast" w:val="33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Муниципальная программа «Реализация государственной национальной политики в Крапивинском муниципальном округе»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0"/>
              <w:bottom w:type="dxa" w:w="57"/>
              <w:right w:type="dxa" w:w="0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</w:t>
            </w:r>
          </w:p>
        </w:tc>
      </w:tr>
    </w:tbl>
    <w:p w14:paraId="C0000000">
      <w:pPr>
        <w:ind w:firstLine="709" w:left="0"/>
        <w:jc w:val="both"/>
        <w:rPr>
          <w:sz w:val="28"/>
        </w:rPr>
      </w:pP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Наиболее затратные разделы расходной части бюджета округа: </w:t>
      </w:r>
    </w:p>
    <w:p w14:paraId="C2000000">
      <w:pPr>
        <w:ind w:firstLine="709" w:left="0"/>
        <w:jc w:val="both"/>
        <w:rPr>
          <w:sz w:val="28"/>
        </w:rPr>
      </w:pPr>
    </w:p>
    <w:p w14:paraId="C3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Расходы по разделу «Образование»</w:t>
      </w:r>
      <w:r>
        <w:rPr>
          <w:sz w:val="28"/>
        </w:rPr>
        <w:t xml:space="preserve"> на 2025 год запланированы в сумме 719,2</w:t>
      </w:r>
      <w:r>
        <w:rPr>
          <w:sz w:val="28"/>
        </w:rPr>
        <w:t xml:space="preserve"> млн. рублей или 47,8 % от о</w:t>
      </w:r>
      <w:r>
        <w:rPr>
          <w:sz w:val="28"/>
        </w:rPr>
        <w:t>бщ</w:t>
      </w:r>
      <w:r>
        <w:rPr>
          <w:sz w:val="28"/>
        </w:rPr>
        <w:t>его объема расходов, на 2026 год в сумме 718,8</w:t>
      </w:r>
      <w:r>
        <w:rPr>
          <w:sz w:val="28"/>
        </w:rPr>
        <w:t xml:space="preserve"> млн. рублей, на 2027 год – 716,9 млн. рублей.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По разделу предусмотрены расходы на решение задач муниципальной программы «Развитие образования Крапивинского муниципального округа»:</w:t>
      </w:r>
    </w:p>
    <w:p w14:paraId="C5000000">
      <w:pPr>
        <w:numPr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обеспечить информационное, аналитическое сопровождение процедур мониторинга качества образования;</w:t>
      </w:r>
    </w:p>
    <w:p w14:paraId="C6000000">
      <w:pPr>
        <w:numPr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способствовать индивидуализации систем обучения в ОУ (в рамках функционирования системы учительского роста);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модернизировать дошкольное, общее и дополнительное </w:t>
      </w:r>
      <w:r>
        <w:rPr>
          <w:sz w:val="28"/>
        </w:rPr>
        <w:t>образование для достижения современного качества учебных результатов;</w:t>
      </w:r>
    </w:p>
    <w:p w14:paraId="C8000000">
      <w:pPr>
        <w:numPr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обеспечить введение ФГОС СОО;</w:t>
      </w:r>
    </w:p>
    <w:p w14:paraId="C9000000">
      <w:pPr>
        <w:numPr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сформировать систему мониторинга уровня образовательной подготовки и социализации школьников;</w:t>
      </w:r>
    </w:p>
    <w:p w14:paraId="CA000000">
      <w:pPr>
        <w:numPr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развивать механизмы стимулирования непрерывного профессионального роста педагогов, их мотивации к повышению качества работы;</w:t>
      </w:r>
    </w:p>
    <w:p w14:paraId="CB000000">
      <w:pPr>
        <w:numPr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создавать условия для развития физической культуры и спорта среди детей;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создавать условия для обеспечения качественным, сбалансированным питанием обучающихся и воспитанников образовательных организаций;</w:t>
      </w:r>
    </w:p>
    <w:p w14:paraId="CD000000">
      <w:pPr>
        <w:ind w:firstLine="709" w:left="0"/>
        <w:jc w:val="both"/>
        <w:rPr>
          <w:sz w:val="28"/>
        </w:rPr>
      </w:pPr>
      <w:r>
        <w:rPr>
          <w:sz w:val="28"/>
        </w:rPr>
        <w:t>- предоставлять равные возможности детям различных социальных категорий для получения качественного образования, развития и отдыха;</w:t>
      </w: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– совершенствовать систему адресной поддержки талантливых детей и м</w:t>
      </w:r>
      <w:r>
        <w:rPr>
          <w:sz w:val="28"/>
        </w:rPr>
        <w:t>олодежи, обеспечевать условия для их личной самореализации и профессионального самоопределения, успешной социализации;</w:t>
      </w:r>
    </w:p>
    <w:p w14:paraId="CF000000">
      <w:pPr>
        <w:numPr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создавать условия, способствующих сохранению и укреплению здоровья  обучающихся  образовательных организаций;</w:t>
      </w:r>
    </w:p>
    <w:p w14:paraId="D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– обеспечить </w:t>
      </w:r>
      <w:r>
        <w:rPr>
          <w:sz w:val="28"/>
        </w:rPr>
        <w:t>использование в образовательном процессе дистанционных образовательных технологий.</w:t>
      </w:r>
    </w:p>
    <w:p w14:paraId="D1000000">
      <w:pPr>
        <w:ind w:firstLine="709" w:left="0"/>
        <w:jc w:val="both"/>
        <w:rPr>
          <w:sz w:val="28"/>
        </w:rPr>
      </w:pPr>
    </w:p>
    <w:p w14:paraId="D2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Расходы по разделу «Социальная политика»</w:t>
      </w:r>
      <w:r>
        <w:rPr>
          <w:sz w:val="28"/>
        </w:rPr>
        <w:t xml:space="preserve"> запланированы </w:t>
      </w:r>
      <w:r>
        <w:rPr>
          <w:sz w:val="28"/>
        </w:rPr>
        <w:t>на 2025 год на сумму 146,0 млн. рублей (9,7 % от общего объема планируемых расходов), на 2026 год - 145,4 м</w:t>
      </w:r>
      <w:r>
        <w:rPr>
          <w:sz w:val="28"/>
        </w:rPr>
        <w:t>лн. руб., на 2027 год - 145,4 млн. руб.</w:t>
      </w:r>
    </w:p>
    <w:p w14:paraId="D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данному разделу предусмотрены расходы на решение следующих задач: </w:t>
      </w:r>
    </w:p>
    <w:p w14:paraId="D4000000">
      <w:pPr>
        <w:ind w:firstLine="709" w:left="0"/>
        <w:jc w:val="both"/>
        <w:rPr>
          <w:sz w:val="28"/>
        </w:rPr>
      </w:pPr>
      <w:r>
        <w:rPr>
          <w:sz w:val="28"/>
        </w:rPr>
        <w:t>- реализация действующих мер адресной поддержки населения Крапивинского округа;</w:t>
      </w:r>
    </w:p>
    <w:p w14:paraId="D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обеспечение потребности граждан старшего поколени</w:t>
      </w:r>
      <w:r>
        <w:rPr>
          <w:sz w:val="28"/>
        </w:rPr>
        <w:t>я, инвалидов и семей с детьми - инвалидами в социальном обслуживании;</w:t>
      </w:r>
    </w:p>
    <w:p w14:paraId="D6000000">
      <w:pPr>
        <w:ind w:firstLine="709" w:left="0"/>
        <w:jc w:val="both"/>
        <w:rPr>
          <w:sz w:val="28"/>
        </w:rPr>
      </w:pPr>
      <w:r>
        <w:rPr>
          <w:sz w:val="28"/>
        </w:rPr>
        <w:t>- повышение качества социальных услуг;</w:t>
      </w:r>
    </w:p>
    <w:p w14:paraId="D7000000">
      <w:pPr>
        <w:ind w:firstLine="709" w:left="0"/>
        <w:jc w:val="both"/>
        <w:rPr>
          <w:sz w:val="28"/>
        </w:rPr>
      </w:pPr>
      <w:r>
        <w:rPr>
          <w:sz w:val="28"/>
        </w:rPr>
        <w:t>- улучшение материального положения отдельных категорий граждан, оказавшихся в трудной жизненной ситуации;</w:t>
      </w:r>
    </w:p>
    <w:p w14:paraId="D8000000">
      <w:pPr>
        <w:ind w:firstLine="709" w:left="0"/>
        <w:jc w:val="both"/>
        <w:rPr>
          <w:sz w:val="28"/>
        </w:rPr>
      </w:pPr>
      <w:r>
        <w:rPr>
          <w:sz w:val="28"/>
        </w:rPr>
        <w:t>- поддержка и стимулирование жизненной а</w:t>
      </w:r>
      <w:r>
        <w:rPr>
          <w:sz w:val="28"/>
        </w:rPr>
        <w:t>ктивности пожилых людей;</w:t>
      </w:r>
    </w:p>
    <w:p w14:paraId="D9000000">
      <w:pPr>
        <w:ind w:firstLine="709" w:left="0"/>
        <w:jc w:val="both"/>
        <w:rPr>
          <w:sz w:val="28"/>
        </w:rPr>
      </w:pPr>
      <w:r>
        <w:rPr>
          <w:sz w:val="28"/>
        </w:rPr>
        <w:t>- повышение уровня социальной реабилитации инвалидов для преодоления ими ограничений жизнедеятельности;</w:t>
      </w:r>
    </w:p>
    <w:p w14:paraId="DA000000">
      <w:pPr>
        <w:ind w:firstLine="709" w:left="0"/>
        <w:jc w:val="both"/>
        <w:rPr>
          <w:sz w:val="28"/>
        </w:rPr>
      </w:pPr>
      <w:r>
        <w:rPr>
          <w:sz w:val="28"/>
        </w:rPr>
        <w:t>- повышение качества жизни граждан, замещавших муниципальные должности Крапивинского муниципального округа и должности муниципальных служ</w:t>
      </w:r>
      <w:r>
        <w:rPr>
          <w:sz w:val="28"/>
        </w:rPr>
        <w:t>ащих Крапивинского округа Кемеровской области-Кузбасса;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>- повышение уровня социальной защиты граждан, уволенных с военной службы, лиц, пострадавших при исполнении обязанностей военной службы (</w:t>
      </w:r>
      <w:r>
        <w:rPr>
          <w:sz w:val="28"/>
        </w:rPr>
        <w:t>служебных обязанностей), и членов их семей;</w:t>
      </w:r>
    </w:p>
    <w:p w14:paraId="DC000000">
      <w:pPr>
        <w:ind w:firstLine="709" w:left="0"/>
        <w:jc w:val="both"/>
        <w:rPr>
          <w:sz w:val="28"/>
        </w:rPr>
      </w:pPr>
      <w:r>
        <w:rPr>
          <w:sz w:val="28"/>
        </w:rPr>
        <w:t>- оказание адресной помощи лицам,</w:t>
      </w:r>
      <w:r>
        <w:rPr>
          <w:sz w:val="28"/>
        </w:rPr>
        <w:t xml:space="preserve"> освободившимся из мест лишения свободы.</w:t>
      </w:r>
    </w:p>
    <w:p w14:paraId="DD000000">
      <w:pPr>
        <w:ind w:firstLine="709" w:left="0"/>
        <w:jc w:val="both"/>
        <w:rPr>
          <w:sz w:val="28"/>
        </w:rPr>
      </w:pPr>
    </w:p>
    <w:p w14:paraId="DE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Расходы по разделу «Культура»</w:t>
      </w:r>
      <w:r>
        <w:rPr>
          <w:sz w:val="28"/>
        </w:rPr>
        <w:t xml:space="preserve"> запланированы на 2025 год на сумму 161,6 млн. руб. (10,7% от общего объема расходов), на 2026 год – 159,1 млн. руб.; на 2027 год - 158,1 млн. руб.</w:t>
      </w:r>
    </w:p>
    <w:p w14:paraId="DF000000">
      <w:pPr>
        <w:ind w:firstLine="709" w:left="0"/>
        <w:jc w:val="both"/>
        <w:rPr>
          <w:sz w:val="28"/>
        </w:rPr>
      </w:pPr>
      <w:r>
        <w:rPr>
          <w:sz w:val="28"/>
        </w:rPr>
        <w:t>По данному разделу предусмотрены расхо</w:t>
      </w:r>
      <w:r>
        <w:rPr>
          <w:sz w:val="28"/>
        </w:rPr>
        <w:t>ды на решение следующих задач:</w:t>
      </w:r>
    </w:p>
    <w:p w14:paraId="E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создание условий для повышения качества и увеличение числа оказываемых муниципальных услуг населению в сфере культуры и искусства;</w:t>
      </w:r>
    </w:p>
    <w:p w14:paraId="E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повышение доступности и качества музейных и библиотечных услуг;</w:t>
      </w:r>
    </w:p>
    <w:p w14:paraId="E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создание условий для гражданск</w:t>
      </w:r>
      <w:r>
        <w:rPr>
          <w:sz w:val="28"/>
        </w:rPr>
        <w:t xml:space="preserve">о-патриотического и духовно-нравственного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</w:t>
      </w:r>
      <w:r>
        <w:rPr>
          <w:sz w:val="28"/>
        </w:rPr>
        <w:t>позиции, готовности к участию в общественно-политической жизни Крапивинского муниципального округа;</w:t>
      </w: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развитие дополнительного образования в сфере культуры.</w:t>
      </w:r>
    </w:p>
    <w:p w14:paraId="E4000000">
      <w:pPr>
        <w:ind w:firstLine="709" w:left="0"/>
        <w:jc w:val="both"/>
        <w:rPr>
          <w:sz w:val="28"/>
        </w:rPr>
      </w:pPr>
    </w:p>
    <w:p w14:paraId="E5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Расходы по разделу «Жилищно - коммунальное хозяйство» </w:t>
      </w:r>
      <w:r>
        <w:rPr>
          <w:sz w:val="28"/>
        </w:rPr>
        <w:t>запланированы на 2025 год в сумме 166,7 млн. руб. (11,1% от общего объема планируемых расходов), на 2026 год - 200,5 млн. руб., на 2027 год - 338,6 млн. руб.</w:t>
      </w:r>
    </w:p>
    <w:p w14:paraId="E6000000">
      <w:pPr>
        <w:ind w:firstLine="709" w:left="0"/>
        <w:jc w:val="both"/>
        <w:rPr>
          <w:sz w:val="28"/>
        </w:rPr>
      </w:pPr>
      <w:r>
        <w:rPr>
          <w:sz w:val="28"/>
        </w:rPr>
        <w:t>По данному разделу</w:t>
      </w:r>
      <w:r>
        <w:rPr>
          <w:b w:val="1"/>
          <w:sz w:val="28"/>
        </w:rPr>
        <w:t xml:space="preserve"> </w:t>
      </w:r>
      <w:r>
        <w:rPr>
          <w:sz w:val="28"/>
        </w:rPr>
        <w:t>предусмотрены расходы на решение следующих задач:</w:t>
      </w:r>
    </w:p>
    <w:p w14:paraId="E7000000">
      <w:pPr>
        <w:ind w:firstLine="709" w:left="0"/>
        <w:jc w:val="both"/>
        <w:rPr>
          <w:sz w:val="28"/>
        </w:rPr>
      </w:pPr>
      <w:r>
        <w:rPr>
          <w:sz w:val="28"/>
        </w:rPr>
        <w:t>- повышение уровня модерниза</w:t>
      </w:r>
      <w:r>
        <w:rPr>
          <w:sz w:val="28"/>
        </w:rPr>
        <w:t>ции объектов коммунальной инфраструктуры;</w:t>
      </w:r>
    </w:p>
    <w:p w14:paraId="E8000000">
      <w:pPr>
        <w:ind w:firstLine="709" w:left="0"/>
        <w:jc w:val="both"/>
        <w:rPr>
          <w:sz w:val="28"/>
        </w:rPr>
      </w:pPr>
      <w:r>
        <w:rPr>
          <w:sz w:val="28"/>
        </w:rPr>
        <w:t>- обеспечение внедрения новых технологий и технических мероприятий, с целью сокращения потерь тепл</w:t>
      </w:r>
      <w:r>
        <w:rPr>
          <w:sz w:val="28"/>
        </w:rPr>
        <w:t>о-</w:t>
      </w:r>
      <w:r>
        <w:rPr>
          <w:sz w:val="28"/>
        </w:rPr>
        <w:t>, водо- и энергоресурсов;</w:t>
      </w:r>
    </w:p>
    <w:p w14:paraId="E9000000">
      <w:pPr>
        <w:ind w:firstLine="709" w:left="0"/>
        <w:jc w:val="both"/>
        <w:rPr>
          <w:sz w:val="28"/>
        </w:rPr>
      </w:pPr>
      <w:r>
        <w:rPr>
          <w:sz w:val="28"/>
        </w:rPr>
        <w:t>- обеспечение реализации вопросов топливно-энергетического комплекса;</w:t>
      </w:r>
    </w:p>
    <w:p w14:paraId="EA000000">
      <w:pPr>
        <w:ind w:firstLine="709" w:left="0"/>
        <w:jc w:val="both"/>
        <w:rPr>
          <w:sz w:val="28"/>
        </w:rPr>
      </w:pPr>
      <w:r>
        <w:rPr>
          <w:sz w:val="28"/>
        </w:rPr>
        <w:t>- обеспечение сохранности автомобильных дорог и поддержание их в состоянии о</w:t>
      </w:r>
      <w:r>
        <w:rPr>
          <w:sz w:val="28"/>
        </w:rPr>
        <w:t>беспечивающем</w:t>
      </w:r>
      <w:r>
        <w:rPr>
          <w:sz w:val="28"/>
        </w:rPr>
        <w:t xml:space="preserve"> круглогодичное бесперебойное и безопасное движение автомобильного транспорта;</w:t>
      </w:r>
    </w:p>
    <w:p w14:paraId="EB000000">
      <w:pPr>
        <w:ind w:firstLine="709" w:left="0"/>
        <w:jc w:val="both"/>
        <w:rPr>
          <w:sz w:val="28"/>
        </w:rPr>
      </w:pPr>
      <w:r>
        <w:rPr>
          <w:sz w:val="28"/>
        </w:rPr>
        <w:t>- увеличение доли протяженности дорожной сети, с</w:t>
      </w:r>
      <w:r>
        <w:rPr>
          <w:sz w:val="28"/>
        </w:rPr>
        <w:t>оответствующей нормативным требованиям к ее транспортно-эксплуатационному состоянию.</w:t>
      </w:r>
    </w:p>
    <w:p w14:paraId="EC000000">
      <w:pPr>
        <w:ind w:firstLine="709" w:left="0"/>
        <w:jc w:val="both"/>
        <w:rPr>
          <w:sz w:val="28"/>
        </w:rPr>
      </w:pPr>
    </w:p>
    <w:p w14:paraId="ED000000">
      <w:pPr>
        <w:ind w:firstLine="709" w:left="0"/>
        <w:jc w:val="both"/>
        <w:rPr>
          <w:sz w:val="28"/>
        </w:rPr>
      </w:pPr>
      <w:r>
        <w:rPr>
          <w:sz w:val="28"/>
        </w:rPr>
        <w:t>В остальных разделах бюджета предусмотрены расходы для обеспечения деятельности органов местного самоуправления, для решения вопросов по национальной обороне, национальной безопаснос</w:t>
      </w:r>
      <w:r>
        <w:rPr>
          <w:sz w:val="28"/>
        </w:rPr>
        <w:t>ти, правоохранительной деятельности, для обеспечения расходов национальной экономики, для работы СМИ, выполнения других полномочий органов местного самоуправления.</w:t>
      </w:r>
    </w:p>
    <w:p w14:paraId="EE000000">
      <w:pPr>
        <w:ind w:firstLine="709" w:left="0"/>
        <w:jc w:val="both"/>
        <w:rPr>
          <w:sz w:val="28"/>
        </w:rPr>
      </w:pPr>
      <w:r>
        <w:rPr>
          <w:sz w:val="28"/>
        </w:rPr>
        <w:t>Согласно ст. 184.1 Б</w:t>
      </w:r>
      <w:r>
        <w:rPr>
          <w:sz w:val="28"/>
        </w:rPr>
        <w:t>ю</w:t>
      </w:r>
      <w:r>
        <w:rPr>
          <w:sz w:val="28"/>
        </w:rPr>
        <w:t>джетного Кодекса РФ уст</w:t>
      </w:r>
      <w:r>
        <w:rPr>
          <w:sz w:val="28"/>
        </w:rPr>
        <w:t xml:space="preserve">ановлен объем условно - утвержденных расходов на 2026 год в сумме 17500,0 тыс. руб. (2,51% общего объема расходов бюджета без учета расходов, предусмотренных за счет межбюджетных трансфертов, имеющих целевое назначение); на 2027 год в сумме 34700 </w:t>
      </w:r>
      <w:r>
        <w:rPr>
          <w:sz w:val="28"/>
        </w:rPr>
        <w:t>тыс</w:t>
      </w:r>
      <w:r>
        <w:rPr>
          <w:sz w:val="28"/>
        </w:rPr>
        <w:t>.р</w:t>
      </w:r>
      <w:r>
        <w:rPr>
          <w:sz w:val="28"/>
        </w:rPr>
        <w:t>уб</w:t>
      </w:r>
      <w:r>
        <w:rPr>
          <w:sz w:val="28"/>
        </w:rPr>
        <w:t xml:space="preserve">. </w:t>
      </w:r>
      <w:r>
        <w:rPr>
          <w:sz w:val="28"/>
        </w:rPr>
        <w:t>(5,02% общего объема расходов бюджета без учета расходов, предусмотренных за счет межбюджетных трансфертов, имеющих целевое назначение).</w:t>
      </w:r>
    </w:p>
    <w:p w14:paraId="EF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Муниципальный бюджет на 2025 год сформирован с дефицитом в 9250,0 тыс. руб., дефицит бюджета муниципального округа</w:t>
      </w:r>
      <w:r>
        <w:rPr>
          <w:sz w:val="28"/>
        </w:rPr>
        <w:t xml:space="preserve"> на 2026 год  сформирован 9700,0 тыс.руб., на 2027 год 9500,0 тыс. руб</w:t>
      </w:r>
      <w:r>
        <w:rPr>
          <w:color w:val="C00000"/>
          <w:sz w:val="28"/>
        </w:rPr>
        <w:t>.</w:t>
      </w:r>
      <w:r>
        <w:rPr>
          <w:sz w:val="28"/>
        </w:rPr>
        <w:t>, что меньше 5% от объема доходов бюджета без учета безвозмездных поступлений, предусмотренных статьей 92.1 Бюджетного Кодекса РФ. В качестве источников финансирования бюджета предусмотрено уменьшение ос</w:t>
      </w:r>
      <w:r>
        <w:rPr>
          <w:sz w:val="28"/>
        </w:rPr>
        <w:t>татков денежных средств бюджета муниципального округа, сложившихся на начало финансового года.</w:t>
      </w:r>
    </w:p>
    <w:p w14:paraId="F0000000">
      <w:pPr>
        <w:ind w:firstLine="709" w:left="0"/>
        <w:jc w:val="both"/>
        <w:rPr>
          <w:sz w:val="28"/>
        </w:rPr>
      </w:pPr>
      <w:r>
        <w:rPr>
          <w:sz w:val="28"/>
        </w:rPr>
        <w:t>В 2025 году и на плановый период 2026 и 2027 годов бюджет округа остается социально-ориентированным, социальные расходы составят почти 70% общего объема бюджета.</w:t>
      </w:r>
    </w:p>
    <w:p w14:paraId="F1000000">
      <w:pPr>
        <w:ind w:firstLine="709" w:left="0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Крапивинского муниципального округа запланирован на 2025 год в сумме 0,00 тыс. руб., на 2026 год – 0,00 тыс. руб., на 2027 год – 0,00 тыс. руб., в связи с отсутствием долговых обязательств.</w:t>
      </w:r>
    </w:p>
    <w:p w14:paraId="F2000000">
      <w:pPr>
        <w:ind w:firstLine="709" w:left="0"/>
        <w:jc w:val="both"/>
        <w:rPr>
          <w:sz w:val="28"/>
        </w:rPr>
      </w:pPr>
    </w:p>
    <w:p w14:paraId="F3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Выводы</w:t>
      </w:r>
    </w:p>
    <w:p w14:paraId="F4000000">
      <w:pPr>
        <w:ind w:firstLine="709" w:left="0"/>
        <w:jc w:val="center"/>
        <w:rPr>
          <w:b w:val="1"/>
          <w:sz w:val="28"/>
        </w:rPr>
      </w:pPr>
    </w:p>
    <w:p w14:paraId="F5000000">
      <w:pPr>
        <w:ind w:firstLine="709" w:left="0"/>
        <w:jc w:val="both"/>
        <w:rPr>
          <w:sz w:val="28"/>
        </w:rPr>
      </w:pPr>
      <w:r>
        <w:rPr>
          <w:sz w:val="28"/>
        </w:rPr>
        <w:t>Проект бюджета Крапивинского муниципального округа на 2025 год и плановый период 2026 и 2027 годов сбалансированный, соответствует нормам бюджетного, налогового и гражданского законодательства Российской Федерации.</w:t>
      </w:r>
    </w:p>
    <w:p w14:paraId="F6000000">
      <w:pPr>
        <w:ind w:firstLine="709" w:left="0"/>
        <w:jc w:val="both"/>
        <w:rPr>
          <w:sz w:val="28"/>
        </w:rPr>
      </w:pPr>
      <w:r>
        <w:rPr>
          <w:sz w:val="28"/>
        </w:rPr>
        <w:t>При расчете прогнозируемого объема доход</w:t>
      </w:r>
      <w:r>
        <w:rPr>
          <w:sz w:val="28"/>
        </w:rPr>
        <w:t>ов учитывались принятые изменения налогового и бюджетного законодательства Российской Федерации. Поступление налоговых и неналоговых доходов предусмотрено на основании расчетных</w:t>
      </w:r>
      <w:r>
        <w:rPr>
          <w:sz w:val="28"/>
        </w:rPr>
        <w:t xml:space="preserve"> данных, отчетов и прогнозов, предоставленных администраторами поступлений дох</w:t>
      </w:r>
      <w:r>
        <w:rPr>
          <w:sz w:val="28"/>
        </w:rPr>
        <w:t>одов в бюджет Крапивинского муниципального округа.</w:t>
      </w:r>
    </w:p>
    <w:p w14:paraId="F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Расходная часть бюджета сформирована исходя из необходимости безусловного исполнения всех принятых публичных нормативных обязательств, сохранением мер социальной поддержки населения с применением принципа </w:t>
      </w:r>
      <w:r>
        <w:rPr>
          <w:sz w:val="28"/>
        </w:rPr>
        <w:t>адресности и нуждаемости, реализации Указов Президента Российской Федерации за счет поступлений налоговых и неналоговых доходов, финансовой помощи из областного бюджета, доходов от предпринимательской и иной, приносящей доход  деятельности казенны</w:t>
      </w:r>
      <w:r>
        <w:rPr>
          <w:sz w:val="28"/>
        </w:rPr>
        <w:t>х учреждений, прочих безвозмездных поступлений.</w:t>
      </w: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>Оснований для отклонения проекта бюджета не установлено.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вышеизложенного</w:t>
      </w:r>
      <w:r>
        <w:rPr>
          <w:sz w:val="28"/>
        </w:rPr>
        <w:t>, контрольно - счетный</w:t>
      </w:r>
      <w:r>
        <w:rPr>
          <w:sz w:val="28"/>
        </w:rPr>
        <w:t xml:space="preserve"> орган предлагает:</w:t>
      </w:r>
    </w:p>
    <w:p w14:paraId="FA000000">
      <w:pPr>
        <w:pStyle w:val="Style_2"/>
        <w:numPr>
          <w:ilvl w:val="0"/>
          <w:numId w:val="6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Совету народных депутатов Крапивинского муниципального округа рассмотреть </w:t>
      </w:r>
      <w:r>
        <w:rPr>
          <w:sz w:val="28"/>
        </w:rPr>
        <w:t>и прин</w:t>
      </w:r>
      <w:r>
        <w:rPr>
          <w:sz w:val="28"/>
        </w:rPr>
        <w:t>ять представленный проект бюджета Крапивинского муниципального округа на 2025 год и плановый период 2026 и 2027 годов, а также утвердить основные характеристики бюджета муниципального округа на 2025 год и плановый период 2026 и 2027 годы.</w:t>
      </w:r>
    </w:p>
    <w:p w14:paraId="FB000000">
      <w:pPr>
        <w:pStyle w:val="Style_2"/>
        <w:numPr>
          <w:ilvl w:val="0"/>
          <w:numId w:val="6"/>
        </w:numPr>
        <w:ind w:firstLine="709" w:left="0"/>
        <w:jc w:val="both"/>
        <w:rPr>
          <w:sz w:val="28"/>
        </w:rPr>
      </w:pPr>
      <w:r>
        <w:rPr>
          <w:sz w:val="28"/>
        </w:rPr>
        <w:t>Органам местного</w:t>
      </w:r>
      <w:r>
        <w:rPr>
          <w:sz w:val="28"/>
        </w:rPr>
        <w:t xml:space="preserve"> самоуправления, руководителям управлений и учреждений:</w:t>
      </w:r>
    </w:p>
    <w:p w14:paraId="F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- обеспечить реализацию основных направлений налоговой и бюджетной политики;</w:t>
      </w:r>
    </w:p>
    <w:p w14:paraId="F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- осуществлять систематическую работу с налогоплательщиками округа</w:t>
      </w:r>
      <w:r>
        <w:rPr>
          <w:sz w:val="28"/>
        </w:rPr>
        <w:t xml:space="preserve"> по вопросу своевременного осуществления налоговых платежей в бюджет;</w:t>
      </w:r>
    </w:p>
    <w:p w14:paraId="F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усилить финансовый контроль за целевым и эффективным расходованием бюджетных средств, недопущению финансовых нарушений;</w:t>
      </w:r>
    </w:p>
    <w:p w14:paraId="F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проводить постоянную работу по сокращению неэффективных рас</w:t>
      </w:r>
      <w:r>
        <w:rPr>
          <w:sz w:val="28"/>
        </w:rPr>
        <w:t>ходов, в том числе за счет оптимизации бюджетной сети и эффективности оказания муниципальных услуг;</w:t>
      </w:r>
    </w:p>
    <w:p w14:paraId="0001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активизировать работу по повышению эффективности управления и распоряжения муниципальным имуществом.</w:t>
      </w:r>
    </w:p>
    <w:p w14:paraId="01010000">
      <w:pPr>
        <w:pStyle w:val="Style_2"/>
        <w:ind w:firstLine="0" w:left="709"/>
        <w:jc w:val="both"/>
        <w:rPr>
          <w:sz w:val="28"/>
        </w:rPr>
      </w:pPr>
    </w:p>
    <w:p w14:paraId="02010000">
      <w:pPr>
        <w:pStyle w:val="Style_2"/>
        <w:ind w:firstLine="0" w:left="709"/>
        <w:jc w:val="both"/>
        <w:rPr>
          <w:sz w:val="28"/>
        </w:rPr>
      </w:pPr>
    </w:p>
    <w:p w14:paraId="03010000">
      <w:pPr>
        <w:pStyle w:val="Style_2"/>
        <w:ind w:firstLine="0" w:left="709"/>
        <w:jc w:val="both"/>
        <w:rPr>
          <w:sz w:val="28"/>
        </w:rPr>
      </w:pPr>
    </w:p>
    <w:p w14:paraId="04010000">
      <w:pPr>
        <w:pStyle w:val="Style_2"/>
        <w:ind w:firstLine="0" w:left="709"/>
        <w:jc w:val="both"/>
        <w:rPr>
          <w:sz w:val="28"/>
        </w:rPr>
      </w:pPr>
      <w:r>
        <w:rPr>
          <w:sz w:val="28"/>
        </w:rPr>
        <w:t>Председатель контрольно - счетного органа</w:t>
      </w:r>
    </w:p>
    <w:p w14:paraId="05010000">
      <w:pPr>
        <w:pStyle w:val="Style_2"/>
        <w:ind w:firstLine="0" w:left="709"/>
        <w:jc w:val="both"/>
        <w:rPr>
          <w:sz w:val="28"/>
        </w:rPr>
      </w:pPr>
      <w:r>
        <w:rPr>
          <w:sz w:val="28"/>
        </w:rPr>
        <w:t xml:space="preserve">Крапивинского муниципального округа                     </w:t>
      </w:r>
      <w:r>
        <w:rPr>
          <w:sz w:val="28"/>
        </w:rPr>
        <w:t>Т.Г.Горюнова</w:t>
      </w:r>
    </w:p>
    <w:p w14:paraId="06010000">
      <w:pPr>
        <w:ind w:firstLine="709" w:left="0"/>
        <w:jc w:val="both"/>
        <w:rPr>
          <w:sz w:val="28"/>
        </w:rPr>
      </w:pPr>
    </w:p>
    <w:p w14:paraId="07010000">
      <w:pPr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09" w:gutter="0" w:header="709" w:left="1985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toc 10"/>
    <w:next w:val="Style_3"/>
    <w:link w:val="Style_8_ch"/>
    <w:pPr>
      <w:ind w:firstLine="0" w:left="1800"/>
    </w:pPr>
  </w:style>
  <w:style w:styleId="Style_8_ch" w:type="character">
    <w:name w:val="toc 10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ConsPlusNormal"/>
    <w:link w:val="Style_11_ch"/>
    <w:pPr>
      <w:widowControl w:val="0"/>
      <w:ind/>
    </w:pPr>
    <w:rPr>
      <w:rFonts w:ascii="Times New Roman" w:hAnsi="Times New Roman"/>
      <w:sz w:val="28"/>
    </w:rPr>
  </w:style>
  <w:style w:styleId="Style_11_ch" w:type="character">
    <w:name w:val="ConsPlusNormal"/>
    <w:link w:val="Style_11"/>
    <w:rPr>
      <w:rFonts w:ascii="Times New Roman" w:hAnsi="Times New Roman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blk"/>
    <w:basedOn w:val="Style_22"/>
    <w:link w:val="Style_21_ch"/>
  </w:style>
  <w:style w:styleId="Style_21_ch" w:type="character">
    <w:name w:val="blk"/>
    <w:basedOn w:val="Style_22_ch"/>
    <w:link w:val="Style_21"/>
  </w:style>
  <w:style w:styleId="Style_23" w:type="paragraph">
    <w:name w:val="toc 9"/>
    <w:next w:val="Style_3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toc 8"/>
    <w:next w:val="Style_3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6" w:type="paragraph">
    <w:name w:val="toc 5"/>
    <w:next w:val="Style_3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Body Text 3"/>
    <w:basedOn w:val="Style_3"/>
    <w:link w:val="Style_27_ch"/>
    <w:pPr>
      <w:spacing w:after="120"/>
      <w:ind/>
    </w:pPr>
    <w:rPr>
      <w:sz w:val="16"/>
    </w:rPr>
  </w:style>
  <w:style w:styleId="Style_27_ch" w:type="character">
    <w:name w:val="Body Text 3"/>
    <w:basedOn w:val="Style_3_ch"/>
    <w:link w:val="Style_27"/>
    <w:rPr>
      <w:sz w:val="16"/>
    </w:rPr>
  </w:style>
  <w:style w:styleId="Style_28" w:type="paragraph">
    <w:name w:val="Subtitle"/>
    <w:next w:val="Style_3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Обычный1"/>
    <w:link w:val="Style_29_ch"/>
    <w:rPr>
      <w:rFonts w:ascii="Times New Roman" w:hAnsi="Times New Roman"/>
      <w:sz w:val="24"/>
    </w:rPr>
  </w:style>
  <w:style w:styleId="Style_29_ch" w:type="character">
    <w:name w:val="Обычный1"/>
    <w:link w:val="Style_29"/>
    <w:rPr>
      <w:rFonts w:ascii="Times New Roman" w:hAnsi="Times New Roman"/>
      <w:sz w:val="24"/>
    </w:rPr>
  </w:style>
  <w:style w:styleId="Style_30" w:type="paragraph">
    <w:name w:val="Title"/>
    <w:next w:val="Style_3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2024-11-18T03:41:53Z</dcterms:modified>
</cp:coreProperties>
</file>