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</w:t>
      </w:r>
    </w:p>
    <w:p>
      <w:pPr>
        <w:pStyle w:val="Normal"/>
        <w:widowControl w:val="false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 постановлению администрации Крапивинского муниципального округа</w:t>
      </w:r>
    </w:p>
    <w:p>
      <w:pPr>
        <w:pStyle w:val="Normal"/>
        <w:widowControl w:val="false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</w:t>
      </w:r>
      <w:r>
        <w:rPr>
          <w:rFonts w:cs="Times New Roman" w:ascii="Times New Roman" w:hAnsi="Times New Roman"/>
        </w:rPr>
        <w:t>от  __________ г.  № ____</w:t>
      </w:r>
    </w:p>
    <w:p>
      <w:pPr>
        <w:pStyle w:val="Normal"/>
        <w:widowControl w:val="false"/>
        <w:jc w:val="righ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4. Ресурсное обеспечение реализации Муниципальной программы</w:t>
      </w:r>
    </w:p>
    <w:p>
      <w:pPr>
        <w:pStyle w:val="Normal"/>
        <w:widowControl w:val="fals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5000" w:type="pct"/>
        <w:jc w:val="left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634"/>
        <w:gridCol w:w="1199"/>
        <w:gridCol w:w="679"/>
        <w:gridCol w:w="728"/>
        <w:gridCol w:w="655"/>
        <w:gridCol w:w="656"/>
        <w:gridCol w:w="654"/>
        <w:gridCol w:w="723"/>
      </w:tblGrid>
      <w:tr>
        <w:trPr>
          <w:trHeight w:val="442" w:hRule="atLeast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Источник финансирования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2021 </w:t>
            </w:r>
          </w:p>
          <w:p>
            <w:pPr>
              <w:pStyle w:val="Table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2022</w:t>
            </w:r>
          </w:p>
          <w:p>
            <w:pPr>
              <w:pStyle w:val="Table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2023 </w:t>
            </w:r>
          </w:p>
          <w:p>
            <w:pPr>
              <w:pStyle w:val="Table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2024 </w:t>
            </w:r>
          </w:p>
          <w:p>
            <w:pPr>
              <w:pStyle w:val="Table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  <w:p>
            <w:pPr>
              <w:pStyle w:val="Table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4" w:hRule="atLeast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Муниципальная программа Крапивинского муниципального округа "Социальная поддержка населения Крапивинского муниципального округа" на 2021-2025 годы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53" w:hRule="atLeast"/>
        </w:trPr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 по Программе,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числе: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105020,6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127008,00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150870,8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131605,5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128414,1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57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57,0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1504,5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1795,8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1932,6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77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областной бюджет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94009,3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113486,7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138652,0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119679,4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119500,6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5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местный 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бюджет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7262,3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8426,8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6828,0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6398,0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5318,0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5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средства юридических и физических лиц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cs="Times New Roman" w:ascii="Times New Roman" w:hAnsi="Times New Roman"/>
              </w:rPr>
              <w:t>3692,0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3590,0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3595,0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3595,5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3595,5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1.Всего по Подпрограмме «Развитие социального обслуживания населения», в том числе: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83152,3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101726,4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123787,0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106175,3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104063,9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57,0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1504,5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1795,8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1932,6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93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областной бюджет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79403,3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96631,9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118396,2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100647,2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100468,4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93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средства юридических и физических лиц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cs="Times New Roman" w:ascii="Times New Roman" w:hAnsi="Times New Roman"/>
              </w:rPr>
              <w:t>3692,0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3590,0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3595,0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3595,5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3595,5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8" w:hRule="atLeast"/>
        </w:trPr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1.1.Мероприятие: обеспечение деятельности (оказание услуг) учреждений социального обслуживания граждан пожилого возраста, инвалидов и других категорий граждан, находящихся в трудной жизненной ситуации, в том числе: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3692,0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3590,0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3595,0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3595,5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3595,5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средства юридических и физических лиц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3692,0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3590,0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3595,0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3595,5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3595,5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8" w:hRule="atLeast"/>
        </w:trPr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1.2. Мероприятие: 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семьям, в том числе: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21068,5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25740,3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44913,0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27857,3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27857,3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областной бюджет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21068,5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25740,3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44913,0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27857,3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27857,3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41" w:hRule="atLeast"/>
        </w:trPr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1.3. Мероприятие: 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обслуживания, в том числе: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58334,8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70845,1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73427,7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72730,1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72611,1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60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областной бюджет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58334,8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70845,1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73427,7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72730,1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72611,1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5" w:hRule="atLeast"/>
        </w:trPr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1.4. Мероприятие: Создание системы долговременного ухода за гражданами пожилого возраста и инвалидами, в том числе:</w:t>
            </w:r>
          </w:p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1551,0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1851,3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1992,4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5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1504,5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1795,8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1932,6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5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областной 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бюджет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46,5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55,5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59,8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5" w:hRule="atLeast"/>
        </w:trPr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1.5. Мероприятие: Финансовое обеспечение расходов, связанных с оплатой отпусков и выплатой компенсации за неиспользованные отпуска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которым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субъектами Российской Федерации расходов на указанные цели, за счет средств резервного фонда Правительства Российской Федерации, в том числе: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57,0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5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57,0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1" w:hRule="atLeast"/>
        </w:trPr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2.Всего по Подпрограмме «Реализация мер социальной поддержки отдельных категорий граждан», в том числе: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2435,2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2857,7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4775,6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3552,0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3552,0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03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областной 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бюджет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2435,2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2857,7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4775,6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3552,0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3552,0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3" w:hRule="atLeast"/>
        </w:trPr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2.1. Мероприятие:</w:t>
            </w:r>
          </w:p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труда», в том числе: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98,4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100,1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180,0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областной бюджет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98,4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100,1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180,0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6" w:hRule="atLeast"/>
        </w:trPr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2.2. Мероприятие: 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области», в том числе: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1930,0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2383,0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2930,0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2930,0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2930,0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12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областной бюджет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1930,0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2383,0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2930,0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2930,0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2930,0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2.3. Мероприятие: Выплаты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07 декабря 2018 года №104-ОЗ "О некоторых вопросах в сфере погребения и похоронного дела в Кемеровской области", в том числе: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406,8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374,6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392,0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392,0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392,0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81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областной бюджет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406,8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374,6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392,0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392,0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392,0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19" w:hRule="atLeast"/>
        </w:trPr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2.4. Мероприятие: 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матерей», в том числе: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19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областной бюджет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19" w:hRule="atLeast"/>
        </w:trPr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2.5. Мероприятие: 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19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областной бюджет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19" w:hRule="atLeast"/>
        </w:trPr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2.6. Мероприятие: Субвенции на меры социальной поддержки отдельных категорий приемных родителей в соответствии с Законом Кемеровской области от 7 февраля 2013 года № 9-ОЗ «О мерах социальной поддержки отдельных категорий приемных родителей»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19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областной бюджет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19" w:hRule="atLeast"/>
        </w:trPr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2.7. Мероприятие: Субвенции на 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19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областной бюджет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19" w:hRule="atLeast"/>
        </w:trPr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2.8. Социальная поддержка отдельных категорий семей в форме оснащения жилых помещений автономными дымовыми пожарными извещателями и (или) датчиками угарного газа в соответствии с Законом Кемеровской области-Кузбасса от 05 октября 2022 года №109-ОЗ " О социальной поддержке тдельных категорий семей в форме оснащения жилых помещений автономными дымовыми пожарными извещателями и (или) датчиками угарного газа ".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1223,6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19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областной бюджет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1223,6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96" w:hRule="atLeast"/>
        </w:trPr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3.Всего по Подпрограмме «Повышение эффективности управления системой социальной поддержки и социального обслуживания», в том числе: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12285,5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14114,9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15590,2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15580,2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15580,2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областной бюджет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12170,8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13997,1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15480,2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15480,2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15480,2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114,7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117,8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9" w:hRule="atLeast"/>
        </w:trPr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3.1. Мероприятие: Социальная поддержка и социальное обслуживание населения в части содержания органов местного самоуправления, в том числе: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12206,6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14114,9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15590,2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15580,2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15580,2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областной бюджет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12091,9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13997,1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15480,2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15480,2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15480,2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114,7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117,8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63" w:hRule="atLeast"/>
        </w:trPr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4.Всего по Подпрограмме «Другие вопросы в области социальной политики», в том числе: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7147,6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8309,0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6718,0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6298,0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5218,0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7147,6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8309,0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6718,0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6298,0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5218,0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48" w:hRule="atLeast"/>
        </w:trPr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4.1. Мероприятие:</w:t>
            </w:r>
          </w:p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Оказание адресной социальной помощи нуждающимся и социально незащищенным категориям граждан, в том числе: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1078,9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757,1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3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3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3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650,0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1078,9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757,1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3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3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3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650,0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3" w:hRule="atLeast"/>
        </w:trPr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4.2. Мероприятие:</w:t>
            </w:r>
          </w:p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Улучшение материального положения семей с детьми, в том числе: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366,4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83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366,4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4.3. Мероприятие:</w:t>
            </w:r>
          </w:p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Социальная поддержка и реабилитация инвалидов, в том числе: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25,0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45,0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25,0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45,0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4.4. Мероприятие:</w:t>
            </w:r>
          </w:p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Пенсия за выслугу лет лицам, замещавшим муниципальные должности Крапивинского муниципального  округа, и муниципальным служащим Крапивинского  муниципального округа, в том числе: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5665,3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6046,4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4800,0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4400,0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3500,0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84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5665,3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6046,4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4800,0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4400,0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3500,0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4.5. Мероприятие:</w:t>
            </w:r>
          </w:p>
          <w:p>
            <w:pPr>
              <w:pStyle w:val="Normal"/>
              <w:widowControl w:val="false"/>
              <w:ind w:right="-108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Создание доступной среды для  инвалидов и маломобильных граждан  Крапивинского муниципального  округа, в том числе: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29,6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2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29,6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73" w:hRule="atLeast"/>
        </w:trPr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4.6. Мероприятие:</w:t>
            </w:r>
          </w:p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Социальная защита  ветеранов и инвалидов боевых действий, лиц, пострадавших при исполнении обязанностей военной службы (служебных обязанностей), и членов их семей, в том числе: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945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34" w:hRule="atLeast"/>
        </w:trPr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4.7.  Мероприятие:</w:t>
            </w:r>
          </w:p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Cs/>
                <w:iCs/>
              </w:rPr>
              <w:t>Социальная адаптация лиц, освободившихся из мест лишения свободы, в том числе: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12,0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61,0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82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12,0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61,0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94" w:hRule="atLeast"/>
        </w:trPr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4.8. Мероприятие: Приобретение товаров, работ, услуг в пользу граждан в целях их социального обеспечения, в том числе: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1139,7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700,0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02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1139,7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700,0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56" w:hRule="atLeast"/>
        </w:trPr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4.9. Мероприятие: Приобретение специальной продукции (ритуальные товары)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131,2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56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131,2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56" w:hRule="atLeast"/>
        </w:trPr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4.10.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</w:rPr>
              <w:t>Мероприятие: Исполнение судебных актов по искам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56" w:hRule="atLeast"/>
        </w:trPr>
        <w:tc>
          <w:tcPr>
            <w:tcW w:w="3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5. Сведения о планируемых значениях целевых показателей (индикаторов) Муниципальной программы</w:t>
      </w:r>
    </w:p>
    <w:p>
      <w:pPr>
        <w:pStyle w:val="Normal"/>
        <w:widowControl w:val="fals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5982" w:type="dxa"/>
        <w:jc w:val="left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940"/>
        <w:gridCol w:w="4111"/>
        <w:gridCol w:w="2269"/>
        <w:gridCol w:w="1276"/>
        <w:gridCol w:w="1275"/>
        <w:gridCol w:w="1418"/>
        <w:gridCol w:w="1275"/>
        <w:gridCol w:w="1416"/>
      </w:tblGrid>
      <w:tr>
        <w:trPr>
          <w:trHeight w:val="549" w:hRule="atLeast"/>
        </w:trPr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Муниципальная программы, подпрограммы, мероприятия</w:t>
            </w:r>
          </w:p>
          <w:p>
            <w:pPr>
              <w:pStyle w:val="Table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целевого показателя (индикатора)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Table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</w:t>
            </w:r>
          </w:p>
        </w:tc>
        <w:tc>
          <w:tcPr>
            <w:tcW w:w="6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Плановое значение целевого показателя (индикатора)</w:t>
            </w:r>
          </w:p>
        </w:tc>
      </w:tr>
      <w:tr>
        <w:trPr>
          <w:trHeight w:val="840" w:hRule="atLeast"/>
        </w:trPr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2021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2022 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2023 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2024 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2025 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год</w:t>
            </w:r>
          </w:p>
        </w:tc>
      </w:tr>
      <w:tr>
        <w:trPr>
          <w:trHeight w:val="181" w:hRule="atLeast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</w:tr>
      <w:tr>
        <w:trPr>
          <w:trHeight w:val="1030" w:hRule="atLeast"/>
        </w:trPr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Муниципальная программа «</w:t>
            </w:r>
            <w:r>
              <w:rPr>
                <w:rFonts w:cs="Times New Roman" w:ascii="Times New Roman" w:hAnsi="Times New Roman"/>
                <w:bCs/>
                <w:kern w:val="2"/>
              </w:rPr>
              <w:t>Социальная поддержка населения Крапивинского муниципального округа</w:t>
            </w:r>
            <w:r>
              <w:rPr>
                <w:rFonts w:cs="Times New Roman" w:ascii="Times New Roman" w:hAnsi="Times New Roman"/>
              </w:rPr>
              <w:t>» на 2021-2025 годы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Коэффициент оценки эффективности Муниципальной программы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коэффициент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</w:tr>
      <w:tr>
        <w:trPr>
          <w:trHeight w:val="1474" w:hRule="atLeast"/>
        </w:trPr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Доля лиц, удовлетворенных качеством социального обслуживания, от общего числа обслуживаемых (по данным опроса)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</w:t>
            </w:r>
          </w:p>
        </w:tc>
      </w:tr>
      <w:tr>
        <w:trPr>
          <w:trHeight w:val="514" w:hRule="atLeast"/>
        </w:trPr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1.Подпрограмма «Социальное обслуживание», 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Соотношение средней заработной платы социальных работников со средней заработной платой в регионе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583" w:hRule="atLeast"/>
        </w:trPr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муниципальных учреждений социального обслуживания, соответствующих установленным стандартам качества социального обслуживания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1.1. Обеспечение деятельности (оказание услуг) учреждений социального обслуживания граждан пожилого возраста, инвалидов и других категорий граждан, находящихся в трудной жизненной ситуации, в том числе: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1.2. 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семьям, 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освоенных средств на обеспечение деятельности специализированных учреждений для несовершеннолетних в общем объеме средств, предусмотренных на ее реализацию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1691" w:hRule="atLeast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1.3.</w:t>
            </w:r>
            <w:r>
              <w:rPr>
                <w:rFonts w:cs="Times New Roman" w:ascii="Times New Roman" w:hAnsi="Times New Roman"/>
                <w:color w:val="C00000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Мероприятие: 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обслуживания, 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освоенных средств на обеспечение деятельности по социальному обслуживанию граждан, достигших возраста 18 лет в общем объеме средств, предусмотренных на ее реализацию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1691" w:hRule="atLeast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1.4. Мероприятие: Создание системы долговременного ухода за гражданами пожилого возраста и инвалидами, 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освоенных средств на обеспечение деятельности по созданию системы долговременного ухода за гражданами пожилого возраста и инвалидами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1691" w:hRule="atLeast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1.5. Мероприятие: Финансовое обеспечение расходов, связанных с оплатой отпусков и выплатой компенсации за неиспользованные отпуска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которым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субъектами Российской Федерации расходов на указанные цели, за счет средств резервного фонда Правительства Российской Федерации, 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освоенных средств на финансовое обеспечение расходов, связанных с оплатой отпусков и выплатой компенсации за неиспользованные отпуска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которым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субъектами Российской Федерации расходов на указанные цели, за счет средств резервного фонда Правительства Российской Федерации, в том числе: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cs="Times New Roman" w:ascii="Times New Roman" w:hAnsi="Times New Roman"/>
              </w:rPr>
              <w:t>2. Подпрограмма «Реализация мер социальной поддержки отдельных категорий граждан», 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расходов на реализацию мер социальной поддержки отдельных категорий граждан в общих расходах муниципальной программы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2,9</w:t>
            </w:r>
          </w:p>
        </w:tc>
      </w:tr>
      <w:tr>
        <w:trPr/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освоенных средств на предоставление мер социальной поддержки</w:t>
            </w:r>
          </w:p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отдельным категориям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граждан в  общем объеме средств, предусмотренных на ее реализацию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2.1. Мероприятие: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труда», 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Количество получателей мер социальной поддержки ветеранов труда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2.2.  Мероприятие: 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области», в том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освоенных средств на социальную поддержку многодетных семей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2.3. Мероприятие: Выплаты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07 декабря 2018 года №104-ОЗ "О некоторых вопросах в сфере погребения и похоронного дела в Кемеровской области" , 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Количество произведенных выплат социального пособия на погребение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2.4. Мероприятие: 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матерей», 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освоенных средств на социальную поддержку отдельных категорий многодетных матерей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2.5. Мероприятие: 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освоенных средств на социальную поддержку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2.6. Мероприятие: Субвенции на меры социальной поддержки отдельных категорий приемных родителей в соответствии с Законом Кемеровской области от 7 февраля 2013 года № 9-ОЗ «О мерах социальной поддержки отдельных категорий приемных родителей»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освоенных средств на социальную поддержку отдельных категорий приемных родителей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2.7. Мероприятие: Субвенции на 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Доля освоенных средств на социальную поддержку отдельных категорий граждан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 Подпрограмма «Повышение эффективности управления системой социальной поддержки и социального обслуживания», 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Доля  расходов на управление Муниципальной программой в общих расходах Муниципальной программой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11,7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3.1. Мероприятие: Социальная поддержка и социальное обслуживание населения в части содержания органов местного самоуправления, 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Доля освоенных средств на социальную поддержку и социальное обслуживание населения в части содержания органов местного самоуправления в общем объеме средств, предусмотренных на ее реализацию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4.Подпрограмма «Другие вопросы в области социальной политики», 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расходов на реализацию дополнительных мероприятий, направленных на повышение качества жизни населения, в общих расходах муниципальной программы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4,3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widowControl w:val="false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4.1.</w:t>
            </w:r>
            <w:r>
              <w:rPr>
                <w:rFonts w:cs="Times New Roman" w:ascii="Times New Roman" w:hAnsi="Times New Roman"/>
                <w:b w:val="false"/>
              </w:rPr>
              <w:t xml:space="preserve">Мероприятие: оказание адресной социальной помощи нуждающимся и социально незащищенным категориям гражданам, в том числе: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widowControl w:val="false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</w:rPr>
              <w:t>Доля освоенных средств на оказание адресной социальной помощи нуждающимся и социально незащищенным категориям гражданам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widowControl w:val="false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widowControl w:val="false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widowControl w:val="false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widowControl w:val="false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widowControl w:val="false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widowControl w:val="false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100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4.2.  Мероприятие: улучшение материального положения семей с детьми, 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семей с детьми, получателей мер социальной поддержки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4.3.Мероприятие: социальная поддержка и реабилитация инвалидов, 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освоенных средств на социальную поддержку и реабилитацию инвалидов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3322" w:hRule="atLeast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4.4.Мероприятие: Пенсия за выслугу лет лицам, замещавшим муниципальные должности Крапивинского округа Кемеровской области, и муниципальным служащим Крапивинского округа Кемеровской области, в том числе: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Количество граждан, замещавших муниципальные должности Крапивинского округа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52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4.5. Мероприятие:</w:t>
            </w:r>
          </w:p>
          <w:p>
            <w:pPr>
              <w:pStyle w:val="Normal"/>
              <w:widowControl w:val="false"/>
              <w:ind w:right="-108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Создание доступной среды для  инвалидов и маломобильных граждан  Крапивинского муниципального  округа, 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мер социальной поддержки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4.6. Мероприятие: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Социальная защита  ветеранов и инвалидов боевых действий, лиц, пострадавших при исполнении обязанностей военной службы (служебных обязанностей), и членов их семей, 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мер социальной поддержки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4.7.  Мероприятие: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iCs/>
              </w:rPr>
              <w:t>Социальная адаптация лиц, освободившихся из мест лишения свободы, 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освоенных средств на социальную адаптацию лиц, освободившихся из мест лишения свободы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4.8. Мероприятие: Приобретение товаров, работ, услуг в пользу граждан в целях их социального обеспечения, 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widowControl w:val="false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</w:rPr>
              <w:t>Доля освоенных средств на приобретение товаров, работ, услуг в пользу граждан в целях их социального обеспечения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widowControl w:val="false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4.9. Мероприятие: Приобретение специальной продукции (ритуальные товары)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освоенных средств на приобретение специальной продукции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4.10.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</w:rPr>
              <w:t>Мероприятие: Исполнение судебных актов по искам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освоенных средств на исполнение судебных актов по искам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</w:tbl>
    <w:p>
      <w:pPr>
        <w:pStyle w:val="Normal"/>
        <w:widowControl w:val="false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559" w:right="1418" w:gutter="0" w:header="0" w:top="709" w:footer="0" w:bottom="709"/>
      <w:pgNumType w:start="1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Courier">
    <w:altName w:val="Courier New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2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uiPriority="99" w:semiHidden="0" w:unhideWhenUsed="0" w:qFormat="1"/>
    <w:lsdException w:name="heading 2" w:uiPriority="99" w:semiHidden="0" w:unhideWhenUsed="0" w:qFormat="1"/>
    <w:lsdException w:name="heading 3" w:uiPriority="99" w:semiHidden="0" w:unhideWhenUsed="0" w:qFormat="1"/>
    <w:lsdException w:name="heading 4" w:uiPriority="99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 w:uiPriority="99"/>
    <w:lsdException w:name="header" w:locked="1" w:uiPriority="99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 w:uiPriority="99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0" w:unhideWhenUsed="0"/>
    <w:lsdException w:name="List 2" w:locked="1"/>
    <w:lsdException w:name="List 3" w:locked="1"/>
    <w:lsdException w:name="List 4" w:locked="1" w:semiHidden="0" w:unhideWhenUsed="0"/>
    <w:lsdException w:name="List 5" w:locked="1" w:semiHidden="0" w:unhideWhenUsed="0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uiPriority="99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uiPriority="99"/>
    <w:lsdException w:name="Normal Table" w:locked="1"/>
    <w:lsdException w:name="annotation subject" w:locked="1"/>
    <w:lsdException w:name="No List" w:locked="1" w:uiPriority="99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99" w:semiHidden="0" w:unhideWhenUsed="0"/>
    <w:lsdException w:name="Table Theme" w:locked="1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7275"/>
    <w:pPr>
      <w:widowControl/>
      <w:suppressAutoHyphens w:val="true"/>
      <w:bidi w:val="0"/>
      <w:spacing w:before="0" w:after="0"/>
      <w:ind w:firstLine="567"/>
      <w:jc w:val="both"/>
    </w:pPr>
    <w:rPr>
      <w:rFonts w:ascii="Arial" w:hAnsi="Arial" w:cs="Arial" w:eastAsia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887275"/>
    <w:pPr>
      <w:jc w:val="center"/>
      <w:outlineLvl w:val="0"/>
    </w:pPr>
    <w:rPr>
      <w:rFonts w:cs="Times New Roman"/>
      <w:b/>
      <w:bCs/>
      <w:kern w:val="2"/>
      <w:sz w:val="32"/>
      <w:szCs w:val="32"/>
    </w:rPr>
  </w:style>
  <w:style w:type="paragraph" w:styleId="2">
    <w:name w:val="Heading 2"/>
    <w:basedOn w:val="Normal"/>
    <w:link w:val="21"/>
    <w:uiPriority w:val="99"/>
    <w:qFormat/>
    <w:rsid w:val="00887275"/>
    <w:pPr>
      <w:jc w:val="center"/>
      <w:outlineLvl w:val="1"/>
    </w:pPr>
    <w:rPr>
      <w:rFonts w:cs="Times New Roman"/>
      <w:b/>
      <w:bCs/>
      <w:sz w:val="28"/>
      <w:szCs w:val="28"/>
    </w:rPr>
  </w:style>
  <w:style w:type="paragraph" w:styleId="3">
    <w:name w:val="Heading 3"/>
    <w:basedOn w:val="Normal"/>
    <w:link w:val="31"/>
    <w:uiPriority w:val="99"/>
    <w:qFormat/>
    <w:rsid w:val="00887275"/>
    <w:pPr>
      <w:outlineLvl w:val="2"/>
    </w:pPr>
    <w:rPr>
      <w:rFonts w:cs="Times New Roman"/>
      <w:b/>
      <w:bCs/>
      <w:sz w:val="26"/>
      <w:szCs w:val="26"/>
    </w:rPr>
  </w:style>
  <w:style w:type="paragraph" w:styleId="4">
    <w:name w:val="Heading 4"/>
    <w:basedOn w:val="Normal"/>
    <w:link w:val="41"/>
    <w:uiPriority w:val="99"/>
    <w:qFormat/>
    <w:rsid w:val="00887275"/>
    <w:pPr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Normal"/>
    <w:next w:val="Normal"/>
    <w:link w:val="51"/>
    <w:qFormat/>
    <w:rsid w:val="002f4b0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9"/>
    <w:qFormat/>
    <w:locked/>
    <w:rsid w:val="00887275"/>
    <w:rPr>
      <w:rFonts w:ascii="Arial" w:hAnsi="Arial" w:cs="Arial"/>
      <w:b/>
      <w:bCs/>
      <w:kern w:val="2"/>
      <w:sz w:val="32"/>
      <w:szCs w:val="32"/>
    </w:rPr>
  </w:style>
  <w:style w:type="character" w:styleId="21" w:customStyle="1">
    <w:name w:val="Заголовок 2 Знак"/>
    <w:uiPriority w:val="99"/>
    <w:qFormat/>
    <w:locked/>
    <w:rsid w:val="00887275"/>
    <w:rPr>
      <w:rFonts w:ascii="Arial" w:hAnsi="Arial" w:cs="Arial"/>
      <w:b/>
      <w:bCs/>
      <w:sz w:val="28"/>
      <w:szCs w:val="28"/>
    </w:rPr>
  </w:style>
  <w:style w:type="character" w:styleId="31" w:customStyle="1">
    <w:name w:val="Заголовок 3 Знак"/>
    <w:uiPriority w:val="99"/>
    <w:qFormat/>
    <w:locked/>
    <w:rsid w:val="00887275"/>
    <w:rPr>
      <w:rFonts w:ascii="Arial" w:hAnsi="Arial" w:cs="Arial"/>
      <w:b/>
      <w:bCs/>
      <w:sz w:val="26"/>
      <w:szCs w:val="26"/>
    </w:rPr>
  </w:style>
  <w:style w:type="character" w:styleId="41" w:customStyle="1">
    <w:name w:val="Заголовок 4 Знак"/>
    <w:uiPriority w:val="99"/>
    <w:qFormat/>
    <w:locked/>
    <w:rsid w:val="00887275"/>
    <w:rPr>
      <w:rFonts w:ascii="Arial" w:hAnsi="Arial" w:cs="Arial"/>
      <w:b/>
      <w:bCs/>
      <w:sz w:val="28"/>
      <w:szCs w:val="28"/>
    </w:rPr>
  </w:style>
  <w:style w:type="character" w:styleId="Style9" w:customStyle="1">
    <w:name w:val="Основной текст Знак"/>
    <w:uiPriority w:val="99"/>
    <w:qFormat/>
    <w:locked/>
    <w:rsid w:val="000129d2"/>
    <w:rPr>
      <w:rFonts w:ascii="Arial" w:hAnsi="Arial" w:cs="Arial"/>
      <w:sz w:val="24"/>
      <w:szCs w:val="24"/>
    </w:rPr>
  </w:style>
  <w:style w:type="character" w:styleId="Style10" w:customStyle="1">
    <w:name w:val="Название Знак"/>
    <w:qFormat/>
    <w:locked/>
    <w:rsid w:val="000129d2"/>
    <w:rPr>
      <w:rFonts w:ascii="Cambria" w:hAnsi="Cambria" w:cs="Times New Roman"/>
      <w:b/>
      <w:bCs/>
      <w:kern w:val="2"/>
      <w:sz w:val="32"/>
      <w:szCs w:val="32"/>
    </w:rPr>
  </w:style>
  <w:style w:type="character" w:styleId="HTMLVariable">
    <w:name w:val="HTML Variable"/>
    <w:uiPriority w:val="99"/>
    <w:qFormat/>
    <w:rsid w:val="00887275"/>
    <w:rPr>
      <w:rFonts w:ascii="Arial" w:hAnsi="Arial" w:cs="Arial"/>
      <w:color w:val="0000FF"/>
      <w:sz w:val="24"/>
      <w:szCs w:val="24"/>
      <w:u w:val="none"/>
    </w:rPr>
  </w:style>
  <w:style w:type="character" w:styleId="Style11" w:customStyle="1">
    <w:name w:val="Текст примечания Знак"/>
    <w:link w:val="Annotationtext"/>
    <w:uiPriority w:val="99"/>
    <w:qFormat/>
    <w:locked/>
    <w:rsid w:val="00887275"/>
    <w:rPr>
      <w:rFonts w:ascii="Courier" w:hAnsi="Courier" w:cs="Courier"/>
      <w:sz w:val="22"/>
      <w:szCs w:val="22"/>
    </w:rPr>
  </w:style>
  <w:style w:type="character" w:styleId="Style12">
    <w:name w:val="Hyperlink"/>
    <w:uiPriority w:val="99"/>
    <w:rsid w:val="00887275"/>
    <w:rPr>
      <w:rFonts w:cs="Times New Roman"/>
      <w:color w:val="0000FF"/>
      <w:u w:val="none"/>
    </w:rPr>
  </w:style>
  <w:style w:type="character" w:styleId="Style13" w:customStyle="1">
    <w:name w:val="Текст выноски Знак"/>
    <w:link w:val="BalloonText"/>
    <w:qFormat/>
    <w:locked/>
    <w:rsid w:val="002910e3"/>
    <w:rPr>
      <w:rFonts w:ascii="Arial" w:hAnsi="Arial" w:cs="Arial"/>
      <w:sz w:val="16"/>
      <w:szCs w:val="16"/>
    </w:rPr>
  </w:style>
  <w:style w:type="character" w:styleId="Style14" w:customStyle="1">
    <w:name w:val="Верхний колонтитул Знак"/>
    <w:uiPriority w:val="99"/>
    <w:qFormat/>
    <w:rsid w:val="000f0a85"/>
    <w:rPr>
      <w:rFonts w:ascii="Arial" w:hAnsi="Arial" w:cs="Arial"/>
      <w:sz w:val="24"/>
      <w:szCs w:val="24"/>
    </w:rPr>
  </w:style>
  <w:style w:type="character" w:styleId="Style15" w:customStyle="1">
    <w:name w:val="Нижний колонтитул Знак"/>
    <w:uiPriority w:val="99"/>
    <w:qFormat/>
    <w:rsid w:val="000f0a85"/>
    <w:rPr>
      <w:rFonts w:ascii="Arial" w:hAnsi="Arial" w:cs="Arial"/>
      <w:sz w:val="24"/>
      <w:szCs w:val="24"/>
    </w:rPr>
  </w:style>
  <w:style w:type="character" w:styleId="12" w:customStyle="1">
    <w:name w:val="Основной текст1"/>
    <w:uiPriority w:val="99"/>
    <w:qFormat/>
    <w:rsid w:val="00311e1b"/>
    <w:rPr>
      <w:color w:val="000000"/>
      <w:spacing w:val="0"/>
      <w:w w:val="100"/>
      <w:sz w:val="25"/>
      <w:szCs w:val="25"/>
      <w:shd w:fill="FFFFFF" w:val="clear"/>
      <w:lang w:val="ru-RU"/>
    </w:rPr>
  </w:style>
  <w:style w:type="character" w:styleId="ConsPlusCell" w:customStyle="1">
    <w:name w:val="ConsPlusCell Знак"/>
    <w:link w:val="ConsPlusCell1"/>
    <w:qFormat/>
    <w:rsid w:val="00311e1b"/>
    <w:rPr>
      <w:rFonts w:ascii="Arial" w:hAnsi="Arial" w:cs="Arial"/>
      <w:lang w:val="ru-RU" w:eastAsia="ru-RU" w:bidi="ar-SA"/>
    </w:rPr>
  </w:style>
  <w:style w:type="character" w:styleId="Pagenumber">
    <w:name w:val="page number"/>
    <w:basedOn w:val="DefaultParagraphFont"/>
    <w:uiPriority w:val="99"/>
    <w:qFormat/>
    <w:locked/>
    <w:rsid w:val="00311e1b"/>
    <w:rPr/>
  </w:style>
  <w:style w:type="character" w:styleId="Style16" w:customStyle="1">
    <w:name w:val="Подзаголовок Знак"/>
    <w:uiPriority w:val="11"/>
    <w:qFormat/>
    <w:rsid w:val="00311e1b"/>
    <w:rPr>
      <w:b/>
      <w:sz w:val="32"/>
    </w:rPr>
  </w:style>
  <w:style w:type="character" w:styleId="51" w:customStyle="1">
    <w:name w:val="Заголовок 5 Знак"/>
    <w:semiHidden/>
    <w:qFormat/>
    <w:rsid w:val="002f4b01"/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link w:val="Style9"/>
    <w:uiPriority w:val="99"/>
    <w:rsid w:val="009c07b8"/>
    <w:pPr/>
    <w:rPr>
      <w:rFonts w:cs="Times New Roman"/>
    </w:rPr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ConsPlusNonformat" w:customStyle="1">
    <w:name w:val="ConsPlusNonformat"/>
    <w:qFormat/>
    <w:rsid w:val="005c3e95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Style22">
    <w:name w:val="Title"/>
    <w:basedOn w:val="Normal"/>
    <w:link w:val="Style10"/>
    <w:qFormat/>
    <w:rsid w:val="009c07b8"/>
    <w:pPr>
      <w:jc w:val="center"/>
    </w:pPr>
    <w:rPr>
      <w:rFonts w:ascii="Cambria" w:hAnsi="Cambria" w:cs="Times New Roman"/>
      <w:b/>
      <w:bCs/>
      <w:kern w:val="2"/>
      <w:sz w:val="32"/>
      <w:szCs w:val="32"/>
    </w:rPr>
  </w:style>
  <w:style w:type="paragraph" w:styleId="ConsPlusNormal" w:customStyle="1">
    <w:name w:val="ConsPlusNormal"/>
    <w:uiPriority w:val="99"/>
    <w:qFormat/>
    <w:rsid w:val="00a44805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Annotationtext">
    <w:name w:val="annotation text"/>
    <w:basedOn w:val="Normal"/>
    <w:link w:val="Style11"/>
    <w:uiPriority w:val="99"/>
    <w:semiHidden/>
    <w:qFormat/>
    <w:rsid w:val="00887275"/>
    <w:pPr/>
    <w:rPr>
      <w:rFonts w:ascii="Courier" w:hAnsi="Courier" w:cs="Times New Roman"/>
      <w:sz w:val="22"/>
      <w:szCs w:val="22"/>
    </w:rPr>
  </w:style>
  <w:style w:type="paragraph" w:styleId="Title" w:customStyle="1">
    <w:name w:val="Title!Название НПА"/>
    <w:basedOn w:val="Normal"/>
    <w:uiPriority w:val="99"/>
    <w:qFormat/>
    <w:rsid w:val="00887275"/>
    <w:pPr>
      <w:spacing w:before="240" w:after="60"/>
      <w:jc w:val="center"/>
      <w:outlineLvl w:val="0"/>
    </w:pPr>
    <w:rPr>
      <w:b/>
      <w:bCs/>
      <w:kern w:val="2"/>
      <w:sz w:val="32"/>
      <w:szCs w:val="32"/>
    </w:rPr>
  </w:style>
  <w:style w:type="paragraph" w:styleId="Application" w:customStyle="1">
    <w:name w:val="Application!Приложение"/>
    <w:uiPriority w:val="99"/>
    <w:qFormat/>
    <w:rsid w:val="00887275"/>
    <w:pPr>
      <w:widowControl/>
      <w:bidi w:val="0"/>
      <w:spacing w:before="120" w:after="120"/>
      <w:jc w:val="right"/>
    </w:pPr>
    <w:rPr>
      <w:rFonts w:ascii="Arial" w:hAnsi="Arial" w:cs="Arial" w:eastAsia="Times New Roman"/>
      <w:b/>
      <w:bCs/>
      <w:color w:val="auto"/>
      <w:kern w:val="2"/>
      <w:sz w:val="32"/>
      <w:szCs w:val="32"/>
      <w:lang w:val="ru-RU" w:eastAsia="ru-RU" w:bidi="ar-SA"/>
    </w:rPr>
  </w:style>
  <w:style w:type="paragraph" w:styleId="Table" w:customStyle="1">
    <w:name w:val="Table!Таблица"/>
    <w:qFormat/>
    <w:rsid w:val="00887275"/>
    <w:pPr>
      <w:widowControl/>
      <w:bidi w:val="0"/>
      <w:spacing w:before="0" w:after="0"/>
      <w:jc w:val="left"/>
    </w:pPr>
    <w:rPr>
      <w:rFonts w:ascii="Arial" w:hAnsi="Arial" w:cs="Arial" w:eastAsia="Times New Roman"/>
      <w:color w:val="auto"/>
      <w:kern w:val="2"/>
      <w:sz w:val="24"/>
      <w:szCs w:val="24"/>
      <w:lang w:val="ru-RU" w:eastAsia="ru-RU" w:bidi="ar-SA"/>
    </w:rPr>
  </w:style>
  <w:style w:type="paragraph" w:styleId="Table1" w:customStyle="1">
    <w:name w:val="Table!"/>
    <w:next w:val="Table"/>
    <w:uiPriority w:val="99"/>
    <w:qFormat/>
    <w:rsid w:val="00887275"/>
    <w:pPr>
      <w:widowControl/>
      <w:bidi w:val="0"/>
      <w:spacing w:before="0" w:after="0"/>
      <w:jc w:val="center"/>
    </w:pPr>
    <w:rPr>
      <w:rFonts w:ascii="Arial" w:hAnsi="Arial" w:cs="Arial" w:eastAsia="Times New Roman"/>
      <w:b/>
      <w:bCs/>
      <w:color w:val="auto"/>
      <w:kern w:val="2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Style13"/>
    <w:qFormat/>
    <w:rsid w:val="002910e3"/>
    <w:pPr/>
    <w:rPr>
      <w:rFonts w:cs="Times New Roman"/>
      <w:sz w:val="16"/>
      <w:szCs w:val="16"/>
    </w:rPr>
  </w:style>
  <w:style w:type="paragraph" w:styleId="13" w:customStyle="1">
    <w:name w:val="Абзац списка1"/>
    <w:basedOn w:val="Normal"/>
    <w:qFormat/>
    <w:rsid w:val="009d07c9"/>
    <w:pPr>
      <w:spacing w:before="0" w:after="0"/>
      <w:ind w:left="720" w:firstLine="567"/>
      <w:contextualSpacing/>
    </w:pPr>
    <w:rPr/>
  </w:style>
  <w:style w:type="paragraph" w:styleId="ConsPlusCell1" w:customStyle="1">
    <w:name w:val="ConsPlusCell"/>
    <w:link w:val="ConsPlusCell"/>
    <w:qFormat/>
    <w:rsid w:val="00d915e9"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4"/>
    <w:uiPriority w:val="99"/>
    <w:locked/>
    <w:rsid w:val="000f0a85"/>
    <w:pPr>
      <w:tabs>
        <w:tab w:val="clear" w:pos="708"/>
        <w:tab w:val="center" w:pos="4677" w:leader="none"/>
        <w:tab w:val="right" w:pos="9355" w:leader="none"/>
      </w:tabs>
    </w:pPr>
    <w:rPr>
      <w:rFonts w:cs="Times New Roman"/>
    </w:rPr>
  </w:style>
  <w:style w:type="paragraph" w:styleId="Style25">
    <w:name w:val="Footer"/>
    <w:basedOn w:val="Normal"/>
    <w:link w:val="Style15"/>
    <w:uiPriority w:val="99"/>
    <w:locked/>
    <w:rsid w:val="000f0a85"/>
    <w:pPr>
      <w:tabs>
        <w:tab w:val="clear" w:pos="708"/>
        <w:tab w:val="center" w:pos="4677" w:leader="none"/>
        <w:tab w:val="right" w:pos="9355" w:leader="none"/>
      </w:tabs>
    </w:pPr>
    <w:rPr>
      <w:rFonts w:cs="Times New Roman"/>
    </w:rPr>
  </w:style>
  <w:style w:type="paragraph" w:styleId="ConsNonformat" w:customStyle="1">
    <w:name w:val="ConsNonformat"/>
    <w:uiPriority w:val="99"/>
    <w:qFormat/>
    <w:rsid w:val="00311e1b"/>
    <w:pPr>
      <w:widowControl w:val="false"/>
      <w:bidi w:val="0"/>
      <w:spacing w:before="0" w:after="0"/>
      <w:ind w:right="19772" w:hanging="0"/>
      <w:jc w:val="left"/>
    </w:pPr>
    <w:rPr>
      <w:rFonts w:ascii="Courier New" w:hAnsi="Courier New" w:cs="Courier New" w:eastAsia="Times New Roman"/>
      <w:color w:val="auto"/>
      <w:kern w:val="0"/>
      <w:sz w:val="22"/>
      <w:szCs w:val="22"/>
      <w:lang w:val="ru-RU" w:eastAsia="ru-RU" w:bidi="ar-SA"/>
    </w:rPr>
  </w:style>
  <w:style w:type="paragraph" w:styleId="Style26" w:customStyle="1">
    <w:name w:val="Нормальный (таблица)"/>
    <w:basedOn w:val="Normal"/>
    <w:next w:val="Normal"/>
    <w:uiPriority w:val="99"/>
    <w:qFormat/>
    <w:rsid w:val="00311e1b"/>
    <w:pPr>
      <w:widowControl w:val="false"/>
      <w:ind w:hanging="0"/>
    </w:pPr>
    <w:rPr/>
  </w:style>
  <w:style w:type="paragraph" w:styleId="ListParagraph">
    <w:name w:val="List Paragraph"/>
    <w:basedOn w:val="Normal"/>
    <w:uiPriority w:val="34"/>
    <w:qFormat/>
    <w:rsid w:val="00311e1b"/>
    <w:pPr>
      <w:spacing w:lineRule="auto" w:line="276" w:before="0" w:after="200"/>
      <w:ind w:left="720" w:hanging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Style27">
    <w:name w:val="Subtitle"/>
    <w:basedOn w:val="Normal"/>
    <w:link w:val="Style16"/>
    <w:uiPriority w:val="99"/>
    <w:qFormat/>
    <w:rsid w:val="00311e1b"/>
    <w:pPr>
      <w:spacing w:before="240" w:after="0"/>
      <w:ind w:hanging="0"/>
      <w:jc w:val="center"/>
    </w:pPr>
    <w:rPr>
      <w:rFonts w:ascii="Times New Roman" w:hAnsi="Times New Roman" w:cs="Times New Roman"/>
      <w:b/>
      <w:sz w:val="32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List 3"/>
    <w:basedOn w:val="a1"/>
    <w:rsid w:val="009c07b8"/>
    <w:rPr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/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ac">
    <w:name w:val="Table Grid"/>
    <w:basedOn w:val="a1"/>
    <w:uiPriority w:val="99"/>
    <w:rsid w:val="00e271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274FF-3A8A-4F25-B02A-EF0E05A91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LibreOffice/7.4.4.2$Windows_X86_64 LibreOffice_project/85569322deea74ec9134968a29af2df5663baa21</Application>
  <AppVersion>15.0000</AppVersion>
  <Pages>11</Pages>
  <Words>2632</Words>
  <Characters>16940</Characters>
  <CharactersWithSpaces>18893</CharactersWithSpaces>
  <Paragraphs>729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2023-04-04T08:23:00Z</dcterms:created>
  <dc:creator>008</dc:creator>
  <dc:description/>
  <dc:language>ru-RU</dc:language>
  <cp:lastModifiedBy/>
  <cp:lastPrinted>2023-05-15T07:23:00Z</cp:lastPrinted>
  <dcterms:modified xsi:type="dcterms:W3CDTF">2023-05-19T19:13:35Z</dcterms:modified>
  <cp:revision>6</cp:revision>
  <dc:subject/>
  <dc:title>КОЛЛЕГИЯ АДМИНИСТРАЦИИ КЕМЕРОВСКОЙ ОБЛАСТИ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