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BD29C" w14:textId="77777777" w:rsidR="000215BC" w:rsidRDefault="000215BC">
      <w:pPr>
        <w:ind w:firstLine="567"/>
        <w:jc w:val="both"/>
        <w:rPr>
          <w:sz w:val="28"/>
        </w:rPr>
      </w:pPr>
      <w:bookmarkStart w:id="0" w:name="_GoBack"/>
      <w:bookmarkEnd w:id="0"/>
    </w:p>
    <w:p w14:paraId="30B8ADE8" w14:textId="49FEE701" w:rsidR="00AA09B8" w:rsidRPr="00EF4A94" w:rsidRDefault="00EF4A94">
      <w:pPr>
        <w:jc w:val="right"/>
        <w:rPr>
          <w:sz w:val="28"/>
          <w:szCs w:val="28"/>
        </w:rPr>
      </w:pPr>
      <w:r w:rsidRPr="00EF4A94">
        <w:rPr>
          <w:sz w:val="28"/>
          <w:szCs w:val="28"/>
        </w:rPr>
        <w:t>Приложение 1</w:t>
      </w:r>
    </w:p>
    <w:p w14:paraId="30B8ADE9" w14:textId="77777777" w:rsidR="00AA09B8" w:rsidRPr="00EF4A94" w:rsidRDefault="00EF4A94">
      <w:pPr>
        <w:ind w:firstLine="567"/>
        <w:jc w:val="right"/>
        <w:rPr>
          <w:sz w:val="28"/>
          <w:szCs w:val="28"/>
        </w:rPr>
      </w:pPr>
      <w:r w:rsidRPr="00EF4A94">
        <w:rPr>
          <w:sz w:val="28"/>
          <w:szCs w:val="28"/>
        </w:rPr>
        <w:t>к решению Совета народных депутатов</w:t>
      </w:r>
    </w:p>
    <w:p w14:paraId="30B8ADEA" w14:textId="77777777" w:rsidR="00AA09B8" w:rsidRPr="00EF4A94" w:rsidRDefault="00EF4A94">
      <w:pPr>
        <w:ind w:firstLine="567"/>
        <w:jc w:val="right"/>
        <w:rPr>
          <w:sz w:val="28"/>
          <w:szCs w:val="28"/>
        </w:rPr>
      </w:pPr>
      <w:r w:rsidRPr="00EF4A94">
        <w:rPr>
          <w:sz w:val="28"/>
          <w:szCs w:val="28"/>
        </w:rPr>
        <w:t xml:space="preserve"> Крапивинского муниципального округа</w:t>
      </w:r>
    </w:p>
    <w:p w14:paraId="30B8ADEB" w14:textId="5F58F0BD" w:rsidR="00AA09B8" w:rsidRPr="00EF4A94" w:rsidRDefault="00EF4A94">
      <w:pPr>
        <w:ind w:firstLine="567"/>
        <w:jc w:val="right"/>
        <w:rPr>
          <w:sz w:val="28"/>
          <w:szCs w:val="28"/>
        </w:rPr>
      </w:pPr>
      <w:r w:rsidRPr="00EF4A94">
        <w:rPr>
          <w:sz w:val="28"/>
          <w:szCs w:val="28"/>
        </w:rPr>
        <w:t xml:space="preserve">от </w:t>
      </w:r>
      <w:r w:rsidR="00754AF9" w:rsidRPr="00EF4A94">
        <w:rPr>
          <w:sz w:val="28"/>
          <w:szCs w:val="28"/>
        </w:rPr>
        <w:t>____________</w:t>
      </w:r>
      <w:r w:rsidRPr="00EF4A94">
        <w:rPr>
          <w:sz w:val="28"/>
          <w:szCs w:val="28"/>
        </w:rPr>
        <w:t xml:space="preserve"> № </w:t>
      </w:r>
      <w:r w:rsidR="00754AF9" w:rsidRPr="00EF4A94">
        <w:rPr>
          <w:sz w:val="28"/>
          <w:szCs w:val="28"/>
        </w:rPr>
        <w:t>_______</w:t>
      </w:r>
    </w:p>
    <w:p w14:paraId="30B8ADEC" w14:textId="77777777" w:rsidR="00AA09B8" w:rsidRPr="00EF4A94" w:rsidRDefault="00AA09B8">
      <w:pPr>
        <w:ind w:firstLine="567"/>
        <w:jc w:val="right"/>
        <w:rPr>
          <w:sz w:val="28"/>
          <w:szCs w:val="28"/>
        </w:rPr>
      </w:pPr>
    </w:p>
    <w:p w14:paraId="3CF286F8" w14:textId="111E72E2" w:rsidR="00754AF9" w:rsidRPr="00EF4A94" w:rsidRDefault="00EF4A94" w:rsidP="00754AF9">
      <w:pPr>
        <w:pStyle w:val="af4"/>
        <w:jc w:val="center"/>
        <w:rPr>
          <w:sz w:val="28"/>
          <w:szCs w:val="28"/>
        </w:rPr>
      </w:pPr>
      <w:r w:rsidRPr="00EF4A94">
        <w:rPr>
          <w:sz w:val="28"/>
          <w:szCs w:val="28"/>
        </w:rPr>
        <w:t xml:space="preserve">Ключевые и индикативные показатели, применяемые при </w:t>
      </w:r>
      <w:r w:rsidR="00754AF9" w:rsidRPr="00EF4A94">
        <w:rPr>
          <w:sz w:val="28"/>
          <w:szCs w:val="28"/>
        </w:rPr>
        <w:t>осуществлении муниципального</w:t>
      </w:r>
      <w:r w:rsidRPr="00EF4A94">
        <w:rPr>
          <w:sz w:val="28"/>
          <w:szCs w:val="28"/>
        </w:rPr>
        <w:t xml:space="preserve"> </w:t>
      </w:r>
      <w:r w:rsidR="00754AF9" w:rsidRPr="00EF4A94">
        <w:rPr>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p>
    <w:p w14:paraId="30B8ADEF" w14:textId="77777777" w:rsidR="00AA09B8" w:rsidRDefault="00EF4A94" w:rsidP="00FB6C0C">
      <w:pPr>
        <w:pStyle w:val="af4"/>
        <w:numPr>
          <w:ilvl w:val="0"/>
          <w:numId w:val="1"/>
        </w:numPr>
        <w:spacing w:before="120" w:after="120"/>
        <w:jc w:val="center"/>
        <w:rPr>
          <w:sz w:val="28"/>
          <w:szCs w:val="28"/>
        </w:rPr>
      </w:pPr>
      <w:r w:rsidRPr="00EF4A94">
        <w:rPr>
          <w:sz w:val="28"/>
          <w:szCs w:val="28"/>
        </w:rPr>
        <w:t>Ключевые показатели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474"/>
      </w:tblGrid>
      <w:tr w:rsidR="0086178A" w:rsidRPr="00FB6C0C" w14:paraId="0EF8BF90" w14:textId="77777777" w:rsidTr="00FB6C0C">
        <w:tc>
          <w:tcPr>
            <w:tcW w:w="7540" w:type="dxa"/>
            <w:tcBorders>
              <w:top w:val="single" w:sz="4" w:space="0" w:color="auto"/>
              <w:left w:val="single" w:sz="4" w:space="0" w:color="auto"/>
              <w:bottom w:val="single" w:sz="4" w:space="0" w:color="auto"/>
              <w:right w:val="single" w:sz="4" w:space="0" w:color="auto"/>
            </w:tcBorders>
            <w:vAlign w:val="center"/>
          </w:tcPr>
          <w:p w14:paraId="237E3E4A" w14:textId="77777777" w:rsidR="0086178A" w:rsidRPr="00FB6C0C" w:rsidRDefault="0086178A" w:rsidP="00FB6C0C">
            <w:pPr>
              <w:autoSpaceDE w:val="0"/>
              <w:autoSpaceDN w:val="0"/>
              <w:adjustRightInd w:val="0"/>
              <w:jc w:val="center"/>
              <w:rPr>
                <w:sz w:val="24"/>
                <w:szCs w:val="28"/>
              </w:rPr>
            </w:pPr>
            <w:r w:rsidRPr="00FB6C0C">
              <w:rPr>
                <w:sz w:val="24"/>
                <w:szCs w:val="28"/>
              </w:rPr>
              <w:t>Ключевые показатели</w:t>
            </w:r>
          </w:p>
        </w:tc>
        <w:tc>
          <w:tcPr>
            <w:tcW w:w="1474" w:type="dxa"/>
            <w:tcBorders>
              <w:top w:val="single" w:sz="4" w:space="0" w:color="auto"/>
              <w:left w:val="single" w:sz="4" w:space="0" w:color="auto"/>
              <w:bottom w:val="single" w:sz="4" w:space="0" w:color="auto"/>
              <w:right w:val="single" w:sz="4" w:space="0" w:color="auto"/>
            </w:tcBorders>
          </w:tcPr>
          <w:p w14:paraId="3D286CD5" w14:textId="77777777" w:rsidR="0086178A" w:rsidRPr="00FB6C0C" w:rsidRDefault="0086178A" w:rsidP="00002255">
            <w:pPr>
              <w:autoSpaceDE w:val="0"/>
              <w:autoSpaceDN w:val="0"/>
              <w:adjustRightInd w:val="0"/>
              <w:jc w:val="center"/>
              <w:rPr>
                <w:sz w:val="24"/>
                <w:szCs w:val="28"/>
              </w:rPr>
            </w:pPr>
            <w:r w:rsidRPr="00FB6C0C">
              <w:rPr>
                <w:sz w:val="24"/>
                <w:szCs w:val="28"/>
              </w:rPr>
              <w:t>Целевые значения</w:t>
            </w:r>
          </w:p>
          <w:p w14:paraId="52E3F9F3" w14:textId="77777777" w:rsidR="0086178A" w:rsidRPr="00FB6C0C" w:rsidRDefault="0086178A" w:rsidP="00002255">
            <w:pPr>
              <w:autoSpaceDE w:val="0"/>
              <w:autoSpaceDN w:val="0"/>
              <w:adjustRightInd w:val="0"/>
              <w:jc w:val="center"/>
              <w:rPr>
                <w:sz w:val="24"/>
                <w:szCs w:val="28"/>
              </w:rPr>
            </w:pPr>
            <w:r w:rsidRPr="00FB6C0C">
              <w:rPr>
                <w:sz w:val="24"/>
                <w:szCs w:val="28"/>
              </w:rPr>
              <w:t>(%)</w:t>
            </w:r>
          </w:p>
        </w:tc>
      </w:tr>
      <w:tr w:rsidR="0086178A" w:rsidRPr="00FB6C0C" w14:paraId="09053AB4" w14:textId="77777777" w:rsidTr="00002255">
        <w:tc>
          <w:tcPr>
            <w:tcW w:w="7540" w:type="dxa"/>
            <w:tcBorders>
              <w:top w:val="single" w:sz="4" w:space="0" w:color="auto"/>
              <w:left w:val="single" w:sz="4" w:space="0" w:color="auto"/>
              <w:bottom w:val="single" w:sz="4" w:space="0" w:color="auto"/>
              <w:right w:val="single" w:sz="4" w:space="0" w:color="auto"/>
            </w:tcBorders>
          </w:tcPr>
          <w:p w14:paraId="77D9BA72" w14:textId="77777777" w:rsidR="0086178A" w:rsidRPr="00FB6C0C" w:rsidRDefault="0086178A" w:rsidP="00002255">
            <w:pPr>
              <w:autoSpaceDE w:val="0"/>
              <w:autoSpaceDN w:val="0"/>
              <w:adjustRightInd w:val="0"/>
              <w:rPr>
                <w:sz w:val="24"/>
                <w:szCs w:val="28"/>
              </w:rPr>
            </w:pPr>
            <w:r w:rsidRPr="00FB6C0C">
              <w:rPr>
                <w:sz w:val="24"/>
                <w:szCs w:val="28"/>
              </w:rPr>
              <w:t>Доля устраненных нарушений обязательных требований от числа выявленных нарушений обязательных требований</w:t>
            </w:r>
          </w:p>
        </w:tc>
        <w:tc>
          <w:tcPr>
            <w:tcW w:w="1474" w:type="dxa"/>
            <w:tcBorders>
              <w:top w:val="single" w:sz="4" w:space="0" w:color="auto"/>
              <w:left w:val="single" w:sz="4" w:space="0" w:color="auto"/>
              <w:bottom w:val="single" w:sz="4" w:space="0" w:color="auto"/>
              <w:right w:val="single" w:sz="4" w:space="0" w:color="auto"/>
            </w:tcBorders>
          </w:tcPr>
          <w:p w14:paraId="76D29E06" w14:textId="2E996F94" w:rsidR="0086178A" w:rsidRPr="00FB6C0C" w:rsidRDefault="0086178A" w:rsidP="00FB6C0C">
            <w:pPr>
              <w:autoSpaceDE w:val="0"/>
              <w:autoSpaceDN w:val="0"/>
              <w:adjustRightInd w:val="0"/>
              <w:jc w:val="center"/>
              <w:rPr>
                <w:sz w:val="24"/>
                <w:szCs w:val="28"/>
              </w:rPr>
            </w:pPr>
            <w:r w:rsidRPr="00FB6C0C">
              <w:rPr>
                <w:sz w:val="24"/>
                <w:szCs w:val="28"/>
              </w:rPr>
              <w:t>90 - 95</w:t>
            </w:r>
          </w:p>
        </w:tc>
      </w:tr>
      <w:tr w:rsidR="0086178A" w:rsidRPr="00FB6C0C" w14:paraId="17A6C38E" w14:textId="77777777" w:rsidTr="00002255">
        <w:tc>
          <w:tcPr>
            <w:tcW w:w="7540" w:type="dxa"/>
            <w:tcBorders>
              <w:top w:val="single" w:sz="4" w:space="0" w:color="auto"/>
              <w:left w:val="single" w:sz="4" w:space="0" w:color="auto"/>
              <w:bottom w:val="single" w:sz="4" w:space="0" w:color="auto"/>
              <w:right w:val="single" w:sz="4" w:space="0" w:color="auto"/>
            </w:tcBorders>
          </w:tcPr>
          <w:p w14:paraId="28A9BBDF" w14:textId="77777777" w:rsidR="0086178A" w:rsidRPr="00FB6C0C" w:rsidRDefault="0086178A" w:rsidP="00002255">
            <w:pPr>
              <w:autoSpaceDE w:val="0"/>
              <w:autoSpaceDN w:val="0"/>
              <w:adjustRightInd w:val="0"/>
              <w:rPr>
                <w:sz w:val="24"/>
                <w:szCs w:val="28"/>
              </w:rPr>
            </w:pPr>
            <w:r w:rsidRPr="00FB6C0C">
              <w:rPr>
                <w:sz w:val="24"/>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74" w:type="dxa"/>
            <w:tcBorders>
              <w:top w:val="single" w:sz="4" w:space="0" w:color="auto"/>
              <w:left w:val="single" w:sz="4" w:space="0" w:color="auto"/>
              <w:bottom w:val="single" w:sz="4" w:space="0" w:color="auto"/>
              <w:right w:val="single" w:sz="4" w:space="0" w:color="auto"/>
            </w:tcBorders>
          </w:tcPr>
          <w:p w14:paraId="1299217F" w14:textId="77777777" w:rsidR="0086178A" w:rsidRPr="00FB6C0C" w:rsidRDefault="0086178A" w:rsidP="00FB6C0C">
            <w:pPr>
              <w:autoSpaceDE w:val="0"/>
              <w:autoSpaceDN w:val="0"/>
              <w:adjustRightInd w:val="0"/>
              <w:jc w:val="center"/>
              <w:rPr>
                <w:sz w:val="24"/>
                <w:szCs w:val="28"/>
              </w:rPr>
            </w:pPr>
            <w:r w:rsidRPr="00FB6C0C">
              <w:rPr>
                <w:sz w:val="24"/>
                <w:szCs w:val="28"/>
              </w:rPr>
              <w:t>0</w:t>
            </w:r>
          </w:p>
        </w:tc>
      </w:tr>
      <w:tr w:rsidR="0086178A" w:rsidRPr="00FB6C0C" w14:paraId="73963C58" w14:textId="77777777" w:rsidTr="00002255">
        <w:tc>
          <w:tcPr>
            <w:tcW w:w="7540" w:type="dxa"/>
            <w:tcBorders>
              <w:top w:val="single" w:sz="4" w:space="0" w:color="auto"/>
              <w:left w:val="single" w:sz="4" w:space="0" w:color="auto"/>
              <w:bottom w:val="single" w:sz="4" w:space="0" w:color="auto"/>
              <w:right w:val="single" w:sz="4" w:space="0" w:color="auto"/>
            </w:tcBorders>
          </w:tcPr>
          <w:p w14:paraId="73A8DDD3" w14:textId="77777777" w:rsidR="0086178A" w:rsidRPr="00FB6C0C" w:rsidRDefault="0086178A" w:rsidP="00002255">
            <w:pPr>
              <w:autoSpaceDE w:val="0"/>
              <w:autoSpaceDN w:val="0"/>
              <w:adjustRightInd w:val="0"/>
              <w:rPr>
                <w:sz w:val="24"/>
                <w:szCs w:val="28"/>
              </w:rPr>
            </w:pPr>
            <w:r w:rsidRPr="00FB6C0C">
              <w:rPr>
                <w:sz w:val="24"/>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74" w:type="dxa"/>
            <w:tcBorders>
              <w:top w:val="single" w:sz="4" w:space="0" w:color="auto"/>
              <w:left w:val="single" w:sz="4" w:space="0" w:color="auto"/>
              <w:bottom w:val="single" w:sz="4" w:space="0" w:color="auto"/>
              <w:right w:val="single" w:sz="4" w:space="0" w:color="auto"/>
            </w:tcBorders>
          </w:tcPr>
          <w:p w14:paraId="3052CD2E" w14:textId="77777777" w:rsidR="0086178A" w:rsidRPr="00FB6C0C" w:rsidRDefault="0086178A" w:rsidP="00FB6C0C">
            <w:pPr>
              <w:autoSpaceDE w:val="0"/>
              <w:autoSpaceDN w:val="0"/>
              <w:adjustRightInd w:val="0"/>
              <w:jc w:val="center"/>
              <w:rPr>
                <w:sz w:val="24"/>
                <w:szCs w:val="28"/>
              </w:rPr>
            </w:pPr>
            <w:r w:rsidRPr="00FB6C0C">
              <w:rPr>
                <w:sz w:val="24"/>
                <w:szCs w:val="28"/>
              </w:rPr>
              <w:t>0</w:t>
            </w:r>
          </w:p>
        </w:tc>
      </w:tr>
      <w:tr w:rsidR="0086178A" w:rsidRPr="00FB6C0C" w14:paraId="2BD34613" w14:textId="77777777" w:rsidTr="00002255">
        <w:tc>
          <w:tcPr>
            <w:tcW w:w="7540" w:type="dxa"/>
            <w:tcBorders>
              <w:top w:val="single" w:sz="4" w:space="0" w:color="auto"/>
              <w:left w:val="single" w:sz="4" w:space="0" w:color="auto"/>
              <w:bottom w:val="single" w:sz="4" w:space="0" w:color="auto"/>
              <w:right w:val="single" w:sz="4" w:space="0" w:color="auto"/>
            </w:tcBorders>
          </w:tcPr>
          <w:p w14:paraId="6595E59E" w14:textId="77777777" w:rsidR="0086178A" w:rsidRPr="00FB6C0C" w:rsidRDefault="0086178A" w:rsidP="00002255">
            <w:pPr>
              <w:autoSpaceDE w:val="0"/>
              <w:autoSpaceDN w:val="0"/>
              <w:adjustRightInd w:val="0"/>
              <w:rPr>
                <w:sz w:val="24"/>
                <w:szCs w:val="28"/>
              </w:rPr>
            </w:pPr>
            <w:r w:rsidRPr="00FB6C0C">
              <w:rPr>
                <w:sz w:val="24"/>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1474" w:type="dxa"/>
            <w:tcBorders>
              <w:top w:val="single" w:sz="4" w:space="0" w:color="auto"/>
              <w:left w:val="single" w:sz="4" w:space="0" w:color="auto"/>
              <w:bottom w:val="single" w:sz="4" w:space="0" w:color="auto"/>
              <w:right w:val="single" w:sz="4" w:space="0" w:color="auto"/>
            </w:tcBorders>
          </w:tcPr>
          <w:p w14:paraId="4296BCBC" w14:textId="77777777" w:rsidR="0086178A" w:rsidRPr="00FB6C0C" w:rsidRDefault="0086178A" w:rsidP="00FB6C0C">
            <w:pPr>
              <w:autoSpaceDE w:val="0"/>
              <w:autoSpaceDN w:val="0"/>
              <w:adjustRightInd w:val="0"/>
              <w:jc w:val="center"/>
              <w:rPr>
                <w:sz w:val="24"/>
                <w:szCs w:val="28"/>
              </w:rPr>
            </w:pPr>
          </w:p>
        </w:tc>
      </w:tr>
    </w:tbl>
    <w:p w14:paraId="30B8AE0D" w14:textId="78318994" w:rsidR="00AA09B8" w:rsidRPr="00EF4A94" w:rsidRDefault="00EF4A94">
      <w:pPr>
        <w:spacing w:before="120" w:after="120"/>
        <w:jc w:val="center"/>
        <w:rPr>
          <w:b/>
          <w:sz w:val="28"/>
          <w:szCs w:val="28"/>
        </w:rPr>
      </w:pPr>
      <w:r w:rsidRPr="00EF4A94">
        <w:rPr>
          <w:b/>
          <w:sz w:val="28"/>
          <w:szCs w:val="28"/>
        </w:rPr>
        <w:t>2. Индикативные показатели</w:t>
      </w:r>
    </w:p>
    <w:p w14:paraId="5FAEF25B" w14:textId="414ED0F8" w:rsidR="00880863" w:rsidRPr="00EF4A94" w:rsidRDefault="004001E8" w:rsidP="00EF4A94">
      <w:pPr>
        <w:pStyle w:val="af4"/>
        <w:numPr>
          <w:ilvl w:val="3"/>
          <w:numId w:val="2"/>
        </w:numPr>
        <w:ind w:left="0" w:firstLine="567"/>
        <w:jc w:val="both"/>
        <w:rPr>
          <w:b w:val="0"/>
          <w:sz w:val="28"/>
          <w:szCs w:val="28"/>
        </w:rPr>
      </w:pPr>
      <w:r w:rsidRPr="00EF4A94">
        <w:rPr>
          <w:b w:val="0"/>
          <w:sz w:val="28"/>
          <w:szCs w:val="28"/>
        </w:rPr>
        <w:t>Количество плановых контрольных (надзорных) мероприятий, проведенных за отчетный период.</w:t>
      </w:r>
    </w:p>
    <w:p w14:paraId="42B58C9A" w14:textId="6265C70C"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w:t>
      </w:r>
    </w:p>
    <w:p w14:paraId="02FB0C9E" w14:textId="2803DD80"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75546C6" w14:textId="6A65C708"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Общее количество контрольных (надзорных) мероприятий с взаимодействием, проведенных за отчетный период.</w:t>
      </w:r>
    </w:p>
    <w:p w14:paraId="5D9172DE" w14:textId="1E898EC1"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1E364DCB" w14:textId="6D1DD8C2"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14:paraId="2D117972" w14:textId="4EB02341"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lastRenderedPageBreak/>
        <w:t>Количество обязательных профилактических визитов, проведенных за отчетный период.</w:t>
      </w:r>
    </w:p>
    <w:p w14:paraId="564564DB" w14:textId="3D2A88C6"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предостережений о недопустимости нарушения обязательных требований, объявленных за отчетный период.</w:t>
      </w:r>
    </w:p>
    <w:p w14:paraId="23CDE4DB" w14:textId="56C5DA5B" w:rsidR="00880863"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p w14:paraId="7F56B616" w14:textId="103F0A35"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5D775CE8" w14:textId="77AEA685"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Сумма административных штрафов, наложенных по результатам контрольных (надзорных) мероприятий, за отчетный период.</w:t>
      </w:r>
    </w:p>
    <w:p w14:paraId="0237376D" w14:textId="1CA5EC1A"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245F6901" w14:textId="01F429E3"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0EF79839" w14:textId="74FFA61D"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Общее количество учтенных объектов контроля на конец отчетного периода.</w:t>
      </w:r>
    </w:p>
    <w:p w14:paraId="0E948BC4" w14:textId="4FF227A0"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17E6FBBF" w14:textId="1C4663C3"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учтенных контролируемых лиц на конец отчетного периода.</w:t>
      </w:r>
    </w:p>
    <w:p w14:paraId="536DED94" w14:textId="0829328C"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учтенных контролируемых лиц, в отношении которых проведены контрольные (надзорные) мероприятия, за отчетный период.</w:t>
      </w:r>
    </w:p>
    <w:p w14:paraId="2F84E620" w14:textId="399BD8D6"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Общее количество жалоб, поданных контролируемыми лицами в досудебном порядке за отчетный период.</w:t>
      </w:r>
    </w:p>
    <w:p w14:paraId="2ADA6109" w14:textId="30BAECBE"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жалоб, в отношении которых контрольным (надзорным) органом был нарушен срок рассмотрения, за отчетный период.</w:t>
      </w:r>
    </w:p>
    <w:p w14:paraId="0E19044D" w14:textId="7B025D72"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24C7CCEF" w14:textId="55DD8947"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2EE8537E" w14:textId="148E0583"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7762445" w14:textId="7A4ED754"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lastRenderedPageBreak/>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sectPr w:rsidR="00EF4A94" w:rsidRPr="00EF4A94" w:rsidSect="00A0146E">
      <w:headerReference w:type="default" r:id="rId8"/>
      <w:pgSz w:w="11906" w:h="16838"/>
      <w:pgMar w:top="851" w:right="851" w:bottom="851" w:left="1843"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80B9C" w14:textId="77777777" w:rsidR="004D546D" w:rsidRDefault="004D546D">
      <w:r>
        <w:separator/>
      </w:r>
    </w:p>
  </w:endnote>
  <w:endnote w:type="continuationSeparator" w:id="0">
    <w:p w14:paraId="3AAF9408" w14:textId="77777777" w:rsidR="004D546D" w:rsidRDefault="004D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77D81" w14:textId="77777777" w:rsidR="004D546D" w:rsidRDefault="004D546D">
      <w:r>
        <w:separator/>
      </w:r>
    </w:p>
  </w:footnote>
  <w:footnote w:type="continuationSeparator" w:id="0">
    <w:p w14:paraId="3187946B" w14:textId="77777777" w:rsidR="004D546D" w:rsidRDefault="004D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AE1F" w14:textId="77777777" w:rsidR="00AA09B8" w:rsidRDefault="00AA09B8">
    <w:pPr>
      <w:pStyle w:val="af7"/>
      <w:jc w:val="center"/>
    </w:pPr>
  </w:p>
  <w:p w14:paraId="30B8AE22" w14:textId="0DB465A9" w:rsidR="00AA09B8" w:rsidRDefault="00A0146E" w:rsidP="00A0146E">
    <w:pPr>
      <w:jc w:val="center"/>
    </w:pPr>
    <w:r>
      <w:fldChar w:fldCharType="begin"/>
    </w:r>
    <w:r>
      <w:instrText xml:space="preserve">PAGE </w:instrText>
    </w:r>
    <w:r>
      <w:fldChar w:fldCharType="separate"/>
    </w:r>
    <w:r w:rsidR="00D4597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C129B"/>
    <w:multiLevelType w:val="multilevel"/>
    <w:tmpl w:val="0B46ED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7EA4C15"/>
    <w:multiLevelType w:val="multilevel"/>
    <w:tmpl w:val="2056C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09B8"/>
    <w:rsid w:val="000215BC"/>
    <w:rsid w:val="0003460E"/>
    <w:rsid w:val="004001E8"/>
    <w:rsid w:val="004D546D"/>
    <w:rsid w:val="00754AF9"/>
    <w:rsid w:val="00793E77"/>
    <w:rsid w:val="008468B2"/>
    <w:rsid w:val="0086178A"/>
    <w:rsid w:val="00880863"/>
    <w:rsid w:val="00A0146E"/>
    <w:rsid w:val="00AA09B8"/>
    <w:rsid w:val="00C40152"/>
    <w:rsid w:val="00D022A2"/>
    <w:rsid w:val="00D4597F"/>
    <w:rsid w:val="00EF4A94"/>
    <w:rsid w:val="00F351BE"/>
    <w:rsid w:val="00FB2EB1"/>
    <w:rsid w:val="00FB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ADA9"/>
  <w15:docId w15:val="{9DACF94E-610D-47B3-826A-BCA6C8F4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sz w:val="2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w:basedOn w:val="a"/>
    <w:link w:val="a4"/>
    <w:pPr>
      <w:ind w:left="283" w:hanging="283"/>
    </w:pPr>
    <w:rPr>
      <w:sz w:val="24"/>
    </w:rPr>
  </w:style>
  <w:style w:type="character" w:customStyle="1" w:styleId="a4">
    <w:name w:val="Список Знак"/>
    <w:basedOn w:val="1"/>
    <w:link w:val="a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color w:val="000000"/>
      <w:sz w:val="16"/>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2">
    <w:name w:val="Знак сноски1"/>
    <w:link w:val="a7"/>
    <w:rPr>
      <w:vertAlign w:val="superscript"/>
    </w:rPr>
  </w:style>
  <w:style w:type="character" w:styleId="a7">
    <w:name w:val="footnote reference"/>
    <w:link w:val="12"/>
    <w:rPr>
      <w:vertAlign w:val="superscript"/>
    </w:rPr>
  </w:style>
  <w:style w:type="character" w:customStyle="1" w:styleId="30">
    <w:name w:val="Заголовок 3 Знак"/>
    <w:basedOn w:val="1"/>
    <w:link w:val="3"/>
    <w:rPr>
      <w:b/>
      <w:sz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style>
  <w:style w:type="paragraph" w:customStyle="1" w:styleId="aa">
    <w:name w:val="Знак Знак Знак Знак Знак"/>
    <w:basedOn w:val="a"/>
    <w:link w:val="ab"/>
    <w:pPr>
      <w:spacing w:after="160" w:line="240" w:lineRule="exact"/>
    </w:pPr>
    <w:rPr>
      <w:rFonts w:ascii="Verdana" w:hAnsi="Verdana"/>
    </w:rPr>
  </w:style>
  <w:style w:type="character" w:customStyle="1" w:styleId="ab">
    <w:name w:val="Знак Знак Знак Знак Знак"/>
    <w:basedOn w:val="1"/>
    <w:link w:val="aa"/>
    <w:rPr>
      <w:rFonts w:ascii="Verdana" w:hAnsi="Verdana"/>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Без интервала1"/>
    <w:link w:val="14"/>
    <w:rPr>
      <w:rFonts w:ascii="Calibri" w:hAnsi="Calibri"/>
      <w:sz w:val="22"/>
    </w:rPr>
  </w:style>
  <w:style w:type="character" w:customStyle="1" w:styleId="14">
    <w:name w:val="Без интервала1"/>
    <w:link w:val="13"/>
    <w:rPr>
      <w:rFonts w:ascii="Calibri" w:hAnsi="Calibri"/>
      <w:sz w:val="22"/>
    </w:rPr>
  </w:style>
  <w:style w:type="paragraph" w:customStyle="1" w:styleId="15">
    <w:name w:val="Строгий1"/>
    <w:link w:val="ac"/>
    <w:rPr>
      <w:b/>
    </w:rPr>
  </w:style>
  <w:style w:type="character" w:styleId="ac">
    <w:name w:val="Strong"/>
    <w:link w:val="15"/>
    <w:rPr>
      <w:b/>
    </w:rPr>
  </w:style>
  <w:style w:type="character" w:customStyle="1" w:styleId="50">
    <w:name w:val="Заголовок 5 Знак"/>
    <w:basedOn w:val="1"/>
    <w:link w:val="5"/>
    <w:rPr>
      <w:b/>
      <w:sz w:val="28"/>
    </w:rPr>
  </w:style>
  <w:style w:type="paragraph" w:customStyle="1" w:styleId="ad">
    <w:name w:val="Текст сноски Знак"/>
    <w:basedOn w:val="16"/>
    <w:link w:val="ae"/>
  </w:style>
  <w:style w:type="character" w:customStyle="1" w:styleId="ae">
    <w:name w:val="Текст сноски Знак"/>
    <w:basedOn w:val="a0"/>
    <w:link w:val="ad"/>
  </w:style>
  <w:style w:type="paragraph" w:styleId="af">
    <w:name w:val="Body Text Indent"/>
    <w:basedOn w:val="a"/>
    <w:link w:val="af0"/>
    <w:pPr>
      <w:spacing w:after="120"/>
      <w:ind w:left="283"/>
    </w:pPr>
    <w:rPr>
      <w:sz w:val="28"/>
    </w:rPr>
  </w:style>
  <w:style w:type="character" w:customStyle="1" w:styleId="af0">
    <w:name w:val="Основной текст с отступом Знак"/>
    <w:basedOn w:val="1"/>
    <w:link w:val="af"/>
    <w:rPr>
      <w:color w:val="000000"/>
      <w:sz w:val="28"/>
    </w:rPr>
  </w:style>
  <w:style w:type="character" w:customStyle="1" w:styleId="11">
    <w:name w:val="Заголовок 1 Знак"/>
    <w:basedOn w:val="1"/>
    <w:link w:val="10"/>
    <w:rPr>
      <w:sz w:val="24"/>
    </w:rPr>
  </w:style>
  <w:style w:type="paragraph" w:customStyle="1" w:styleId="17">
    <w:name w:val="Основной текст1"/>
    <w:basedOn w:val="a"/>
    <w:link w:val="18"/>
    <w:pPr>
      <w:widowControl w:val="0"/>
      <w:jc w:val="both"/>
    </w:pPr>
    <w:rPr>
      <w:sz w:val="28"/>
    </w:rPr>
  </w:style>
  <w:style w:type="character" w:customStyle="1" w:styleId="18">
    <w:name w:val="Основной текст1"/>
    <w:basedOn w:val="1"/>
    <w:link w:val="17"/>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9">
    <w:name w:val="Гиперссылка1"/>
    <w:link w:val="af1"/>
    <w:rPr>
      <w:color w:val="0000FF"/>
      <w:u w:val="single"/>
    </w:rPr>
  </w:style>
  <w:style w:type="character" w:styleId="af1">
    <w:name w:val="Hyperlink"/>
    <w:link w:val="1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2">
    <w:name w:val="Block Text"/>
    <w:basedOn w:val="a"/>
    <w:link w:val="af3"/>
    <w:pPr>
      <w:spacing w:before="5" w:line="326" w:lineRule="exact"/>
      <w:ind w:left="77" w:right="10" w:firstLine="562"/>
      <w:jc w:val="both"/>
    </w:pPr>
    <w:rPr>
      <w:color w:val="FF0000"/>
      <w:sz w:val="28"/>
    </w:rPr>
  </w:style>
  <w:style w:type="character" w:customStyle="1" w:styleId="af3">
    <w:name w:val="Цитата Знак"/>
    <w:basedOn w:val="1"/>
    <w:link w:val="af2"/>
    <w:rPr>
      <w:color w:val="FF0000"/>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4">
    <w:name w:val="Body Text"/>
    <w:basedOn w:val="a"/>
    <w:link w:val="af5"/>
    <w:rPr>
      <w:b/>
      <w:sz w:val="24"/>
    </w:rPr>
  </w:style>
  <w:style w:type="character" w:customStyle="1" w:styleId="af5">
    <w:name w:val="Основной текст Знак"/>
    <w:basedOn w:val="1"/>
    <w:link w:val="af4"/>
    <w:rPr>
      <w:b/>
      <w:sz w:val="24"/>
    </w:rPr>
  </w:style>
  <w:style w:type="paragraph" w:styleId="23">
    <w:name w:val="Body Text Indent 2"/>
    <w:basedOn w:val="a"/>
    <w:link w:val="24"/>
    <w:pPr>
      <w:spacing w:after="120" w:line="480" w:lineRule="auto"/>
      <w:ind w:left="283"/>
    </w:pPr>
    <w:rPr>
      <w:sz w:val="28"/>
    </w:rPr>
  </w:style>
  <w:style w:type="character" w:customStyle="1" w:styleId="24">
    <w:name w:val="Основной текст с отступом 2 Знак"/>
    <w:basedOn w:val="1"/>
    <w:link w:val="23"/>
    <w:rPr>
      <w:color w:val="000000"/>
      <w:sz w:val="28"/>
    </w:rPr>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1c">
    <w:name w:val="Номер страницы1"/>
    <w:basedOn w:val="16"/>
    <w:link w:val="af6"/>
  </w:style>
  <w:style w:type="character" w:styleId="af6">
    <w:name w:val="page number"/>
    <w:basedOn w:val="a0"/>
    <w:link w:val="1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7">
    <w:name w:val="header"/>
    <w:basedOn w:val="a"/>
    <w:link w:val="af8"/>
    <w:pPr>
      <w:tabs>
        <w:tab w:val="center" w:pos="4677"/>
        <w:tab w:val="right" w:pos="9355"/>
      </w:tabs>
    </w:pPr>
  </w:style>
  <w:style w:type="character" w:customStyle="1" w:styleId="af8">
    <w:name w:val="Верхний колонтитул Знак"/>
    <w:basedOn w:val="1"/>
    <w:link w:val="af7"/>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af9">
    <w:name w:val="Гипертекстовая ссылка"/>
    <w:link w:val="afa"/>
    <w:rPr>
      <w:color w:val="008000"/>
    </w:rPr>
  </w:style>
  <w:style w:type="character" w:customStyle="1" w:styleId="afa">
    <w:name w:val="Гипертекстовая ссылка"/>
    <w:link w:val="af9"/>
    <w:rPr>
      <w:color w:val="008000"/>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d">
    <w:name w:val="Title"/>
    <w:basedOn w:val="a"/>
    <w:link w:val="afe"/>
    <w:uiPriority w:val="10"/>
    <w:qFormat/>
    <w:pPr>
      <w:jc w:val="center"/>
    </w:pPr>
    <w:rPr>
      <w:sz w:val="28"/>
    </w:rPr>
  </w:style>
  <w:style w:type="character" w:customStyle="1" w:styleId="afe">
    <w:name w:val="Название Знак"/>
    <w:basedOn w:val="1"/>
    <w:link w:val="afd"/>
    <w:rPr>
      <w:sz w:val="28"/>
    </w:rPr>
  </w:style>
  <w:style w:type="character" w:customStyle="1" w:styleId="40">
    <w:name w:val="Заголовок 4 Знак"/>
    <w:basedOn w:val="1"/>
    <w:link w:val="4"/>
    <w:rPr>
      <w:sz w:val="28"/>
    </w:rPr>
  </w:style>
  <w:style w:type="paragraph" w:customStyle="1" w:styleId="1d">
    <w:name w:val="Знак Знак1 Знак"/>
    <w:basedOn w:val="a"/>
    <w:link w:val="1e"/>
    <w:pPr>
      <w:widowControl w:val="0"/>
      <w:spacing w:after="160" w:line="240" w:lineRule="exact"/>
      <w:jc w:val="right"/>
    </w:pPr>
    <w:rPr>
      <w:b/>
    </w:rPr>
  </w:style>
  <w:style w:type="character" w:customStyle="1" w:styleId="1e">
    <w:name w:val="Знак Знак1 Знак"/>
    <w:basedOn w:val="1"/>
    <w:link w:val="1d"/>
    <w:rPr>
      <w:b/>
    </w:rPr>
  </w:style>
  <w:style w:type="character" w:customStyle="1" w:styleId="20">
    <w:name w:val="Заголовок 2 Знак"/>
    <w:basedOn w:val="1"/>
    <w:link w:val="2"/>
    <w:rPr>
      <w:b/>
      <w:sz w:val="32"/>
    </w:rPr>
  </w:style>
  <w:style w:type="paragraph" w:customStyle="1" w:styleId="16">
    <w:name w:val="Основной шрифт абзаца1"/>
  </w:style>
  <w:style w:type="paragraph" w:styleId="aff">
    <w:name w:val="List Paragraph"/>
    <w:basedOn w:val="a"/>
    <w:link w:val="aff0"/>
    <w:pPr>
      <w:spacing w:after="200" w:line="276" w:lineRule="auto"/>
      <w:ind w:left="720"/>
      <w:contextualSpacing/>
    </w:pPr>
    <w:rPr>
      <w:rFonts w:ascii="Calibri" w:hAnsi="Calibri"/>
      <w:b/>
      <w:sz w:val="22"/>
    </w:rPr>
  </w:style>
  <w:style w:type="character" w:customStyle="1" w:styleId="aff0">
    <w:name w:val="Абзац списка Знак"/>
    <w:basedOn w:val="1"/>
    <w:link w:val="aff"/>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1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B47A-35F8-4868-B3A6-2993B7FB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10</cp:revision>
  <cp:lastPrinted>2022-01-27T09:25:00Z</cp:lastPrinted>
  <dcterms:created xsi:type="dcterms:W3CDTF">2022-01-17T04:34:00Z</dcterms:created>
  <dcterms:modified xsi:type="dcterms:W3CDTF">2022-02-02T02:26:00Z</dcterms:modified>
</cp:coreProperties>
</file>