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sectPr>
          <w:headerReference r:id="rId9" w:type="default"/>
          <w:headerReference r:id="rId5" w:type="first"/>
          <w:headerReference r:id="rId1" w:type="even"/>
          <w:footerReference r:id="rId10" w:type="default"/>
          <w:footerReference r:id="rId6" w:type="first"/>
          <w:footerReference r:id="rId2" w:type="even"/>
          <w:pgSz w:h="16838" w:orient="portrait" w:w="11905"/>
          <w:pgMar w:bottom="1134" w:footer="0" w:gutter="0" w:header="454" w:left="1559" w:right="1134" w:top="851"/>
          <w:titlePg/>
        </w:sectPr>
      </w:pPr>
    </w:p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1165"/>
        <w:gridCol w:w="4187"/>
      </w:tblGrid>
      <w:tr>
        <w:tc>
          <w:tcPr>
            <w:tcW w:type="dxa" w:w="1116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E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18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F00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Приложение №1 </w:t>
            </w:r>
          </w:p>
          <w:p w14:paraId="1000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 xml:space="preserve">к бюджетному прогнозу </w:t>
            </w:r>
          </w:p>
          <w:p w14:paraId="1100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>округа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14:paraId="12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на долгосрочный период до 2035 года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13000000">
      <w:pPr>
        <w:pStyle w:val="Style_4"/>
        <w:widowControl w:val="1"/>
        <w:ind w:firstLine="540"/>
        <w:jc w:val="both"/>
        <w:rPr>
          <w:rFonts w:ascii="Times New Roman" w:hAnsi="Times New Roman"/>
          <w:sz w:val="24"/>
        </w:rPr>
      </w:pPr>
    </w:p>
    <w:p w14:paraId="14000000">
      <w:pPr>
        <w:pStyle w:val="Style_4"/>
        <w:widowControl w:val="1"/>
        <w:ind w:firstLine="540"/>
        <w:jc w:val="right"/>
        <w:rPr>
          <w:rFonts w:ascii="Times New Roman" w:hAnsi="Times New Roman"/>
          <w:sz w:val="20"/>
        </w:rPr>
      </w:pPr>
    </w:p>
    <w:p w14:paraId="1500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</w:t>
      </w:r>
    </w:p>
    <w:p w14:paraId="1600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Основных х</w:t>
      </w:r>
      <w:r>
        <w:rPr>
          <w:rFonts w:ascii="Times New Roman" w:hAnsi="Times New Roman"/>
          <w:sz w:val="24"/>
        </w:rPr>
        <w:t xml:space="preserve">арактеристик </w:t>
      </w:r>
      <w:r>
        <w:rPr>
          <w:rFonts w:ascii="Times New Roman" w:hAnsi="Times New Roman"/>
          <w:sz w:val="24"/>
        </w:rPr>
        <w:t xml:space="preserve">бюджета Крапивинского муниципального </w:t>
      </w:r>
      <w:r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млн</w:t>
      </w:r>
      <w:r>
        <w:rPr>
          <w:rFonts w:ascii="Times New Roman" w:hAnsi="Times New Roman"/>
          <w:sz w:val="24"/>
        </w:rPr>
        <w:t>.р</w:t>
      </w:r>
      <w:r>
        <w:rPr>
          <w:rFonts w:ascii="Times New Roman" w:hAnsi="Times New Roman"/>
          <w:sz w:val="24"/>
        </w:rPr>
        <w:t>уб</w:t>
      </w:r>
      <w:r>
        <w:rPr>
          <w:rFonts w:ascii="Times New Roman" w:hAnsi="Times New Roman"/>
          <w:sz w:val="24"/>
        </w:rPr>
        <w:t>.</w:t>
      </w:r>
    </w:p>
    <w:p w14:paraId="17000000">
      <w:pPr>
        <w:pStyle w:val="Style_4"/>
        <w:widowControl w:val="1"/>
        <w:ind w:firstLine="540"/>
        <w:jc w:val="right"/>
        <w:rPr>
          <w:rFonts w:ascii="Times New Roman" w:hAnsi="Times New Roman"/>
          <w:sz w:val="20"/>
        </w:rPr>
      </w:pPr>
    </w:p>
    <w:tbl>
      <w:tblPr>
        <w:tblStyle w:val="Style_5"/>
        <w:tblW w:type="auto" w:w="0"/>
        <w:tblInd w:type="dxa" w:w="-601"/>
        <w:tblLayout w:type="fixed"/>
      </w:tblPr>
      <w:tblGrid>
        <w:gridCol w:w="425"/>
        <w:gridCol w:w="1418"/>
        <w:gridCol w:w="1134"/>
        <w:gridCol w:w="993"/>
        <w:gridCol w:w="992"/>
        <w:gridCol w:w="992"/>
        <w:gridCol w:w="992"/>
        <w:gridCol w:w="1134"/>
        <w:gridCol w:w="910"/>
        <w:gridCol w:w="985"/>
        <w:gridCol w:w="853"/>
        <w:gridCol w:w="848"/>
        <w:gridCol w:w="772"/>
        <w:gridCol w:w="825"/>
        <w:gridCol w:w="779"/>
        <w:gridCol w:w="777"/>
        <w:gridCol w:w="794"/>
        <w:gridCol w:w="821"/>
      </w:tblGrid>
      <w:tr>
        <w:trPr>
          <w:trHeight w:hRule="atLeast" w:val="272"/>
        </w:trPr>
        <w:tc>
          <w:tcPr>
            <w:tcW w:type="dxa" w:w="42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</w:t>
            </w:r>
          </w:p>
        </w:tc>
        <w:tc>
          <w:tcPr>
            <w:tcW w:type="dxa" w:w="14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Показатель</w:t>
            </w:r>
          </w:p>
        </w:tc>
        <w:tc>
          <w:tcPr>
            <w:tcW w:type="dxa" w:w="1134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2020</w:t>
            </w:r>
          </w:p>
        </w:tc>
        <w:tc>
          <w:tcPr>
            <w:tcW w:type="dxa" w:w="993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2021</w:t>
            </w:r>
          </w:p>
        </w:tc>
        <w:tc>
          <w:tcPr>
            <w:tcW w:type="dxa" w:w="992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2022</w:t>
            </w:r>
          </w:p>
        </w:tc>
        <w:tc>
          <w:tcPr>
            <w:tcW w:type="dxa" w:w="992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2023</w:t>
            </w:r>
          </w:p>
        </w:tc>
        <w:tc>
          <w:tcPr>
            <w:tcW w:type="dxa" w:w="992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2024</w:t>
            </w:r>
          </w:p>
        </w:tc>
        <w:tc>
          <w:tcPr>
            <w:tcW w:type="dxa" w:w="1134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1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2025</w:t>
            </w:r>
          </w:p>
        </w:tc>
        <w:tc>
          <w:tcPr>
            <w:tcW w:type="dxa" w:w="910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2026</w:t>
            </w:r>
          </w:p>
        </w:tc>
        <w:tc>
          <w:tcPr>
            <w:tcW w:type="dxa" w:w="985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2027</w:t>
            </w:r>
          </w:p>
        </w:tc>
        <w:tc>
          <w:tcPr>
            <w:tcW w:type="dxa" w:w="853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2028</w:t>
            </w:r>
          </w:p>
        </w:tc>
        <w:tc>
          <w:tcPr>
            <w:tcW w:type="dxa" w:w="848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2029</w:t>
            </w:r>
          </w:p>
        </w:tc>
        <w:tc>
          <w:tcPr>
            <w:tcW w:type="dxa" w:w="772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2030</w:t>
            </w:r>
          </w:p>
        </w:tc>
        <w:tc>
          <w:tcPr>
            <w:tcW w:type="dxa" w:w="825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2031</w:t>
            </w:r>
          </w:p>
        </w:tc>
        <w:tc>
          <w:tcPr>
            <w:tcW w:type="dxa" w:w="779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2032</w:t>
            </w:r>
          </w:p>
        </w:tc>
        <w:tc>
          <w:tcPr>
            <w:tcW w:type="dxa" w:w="777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2033</w:t>
            </w:r>
          </w:p>
        </w:tc>
        <w:tc>
          <w:tcPr>
            <w:tcW w:type="dxa" w:w="794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2034</w:t>
            </w:r>
          </w:p>
        </w:tc>
        <w:tc>
          <w:tcPr>
            <w:tcW w:type="dxa" w:w="821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center"/>
          </w:tcPr>
          <w:p w14:paraId="2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2035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C000000">
            <w:pPr>
              <w:widowControl w:val="1"/>
              <w:tabs>
                <w:tab w:leader="none" w:pos="60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год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</w:tr>
      <w:tr>
        <w:trPr>
          <w:trHeight w:hRule="atLeast" w:val="286"/>
        </w:trPr>
        <w:tc>
          <w:tcPr>
            <w:tcW w:type="dxa" w:w="425"/>
            <w:vMerge w:val="restart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 w14:paraId="4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Общий объем доходов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1221,67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1506,43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1651,21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1819,61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2505,95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1720,06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1393,9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1394,8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1409,2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1654,5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1703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1753,1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1804,6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1857,7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1912,3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1968,6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доп</w:t>
            </w:r>
            <w:r>
              <w:rPr>
                <w:rFonts w:ascii="Times New Roman" w:hAnsi="Times New Roman"/>
                <w:color w:val="000000"/>
                <w:sz w:val="18"/>
              </w:rPr>
              <w:t>.н</w:t>
            </w:r>
            <w:r>
              <w:rPr>
                <w:rFonts w:ascii="Times New Roman" w:hAnsi="Times New Roman"/>
                <w:color w:val="000000"/>
                <w:sz w:val="18"/>
              </w:rPr>
              <w:t>орматив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76,9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86,9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110,5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130,9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147,3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143,9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157,3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158,9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161,2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140,9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148,0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155,4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163,1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171,3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179,9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188,9</w:t>
            </w:r>
          </w:p>
        </w:tc>
      </w:tr>
      <w:tr>
        <w:trPr>
          <w:trHeight w:hRule="atLeast" w:val="353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 том числе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>
        <w:trPr>
          <w:trHeight w:hRule="atLeast" w:val="477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Налоговые и неналоговые доходы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188,05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261,44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346,28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294,95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362,18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345,89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353,6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351,3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365,6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280,5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287,8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295,4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303,2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311,2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319,4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327,9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из них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налоговые доходы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142,22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170,94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219,77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237,85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286,0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295,95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311,2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308,1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321,7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244,1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251,4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259,0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266,8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274,8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283,0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291,5</w:t>
            </w:r>
          </w:p>
        </w:tc>
      </w:tr>
      <w:tr>
        <w:trPr>
          <w:trHeight w:hRule="atLeast" w:val="551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неналоговые доходы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45,83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126,51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76,18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49,94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42,4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43,2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43,9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36,4</w:t>
            </w:r>
          </w:p>
        </w:tc>
      </w:tr>
      <w:tr>
        <w:trPr>
          <w:trHeight w:hRule="atLeast" w:val="477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Безвозмездные поступления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18"/>
              </w:rPr>
              <w:t>т.ч</w:t>
            </w:r>
            <w:r>
              <w:rPr>
                <w:rFonts w:ascii="Times New Roman" w:hAnsi="Times New Roman"/>
                <w:color w:val="000000"/>
                <w:sz w:val="18"/>
              </w:rPr>
              <w:t>.: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1033,62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1244,99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1304,93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1524,66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2143,77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1374,17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1040,3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1043,5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1043,6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1374,0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1415,2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1457,7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1501,4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1546,5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1592,9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1640,7</w:t>
            </w:r>
          </w:p>
        </w:tc>
      </w:tr>
      <w:tr>
        <w:trPr>
          <w:trHeight w:hRule="atLeast" w:val="425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Дотация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456,37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436,10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357,56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525,64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697,6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462,32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314,4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312,</w:t>
            </w:r>
            <w:r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304,3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D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443,0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456,0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469,0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483,0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497,0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512,0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527,0</w:t>
            </w:r>
          </w:p>
        </w:tc>
      </w:tr>
      <w:tr>
        <w:trPr>
          <w:trHeight w:hRule="atLeast" w:val="417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Субсидии 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105,54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332,48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258,98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653,5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147,42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91,3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89,3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97,1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138,3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142,9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148,0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152,7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157,9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162,7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168,2</w:t>
            </w:r>
          </w:p>
        </w:tc>
      </w:tr>
      <w:tr>
        <w:trPr>
          <w:trHeight w:hRule="atLeast" w:val="39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Субвенции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464,01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520,30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596,4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718,76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763,9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732,21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583,9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F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598,1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599,0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768,1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791,2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814,9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839,4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864,5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890,5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917,2</w:t>
            </w:r>
          </w:p>
        </w:tc>
      </w:tr>
      <w:tr>
        <w:trPr>
          <w:trHeight w:hRule="atLeast" w:val="415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Иные МБТ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7,36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16,7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17,26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16,26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28,4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33,61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0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33,2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33,2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19,6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20,2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21,4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22,0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22,7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1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23,4</w:t>
            </w:r>
          </w:p>
        </w:tc>
      </w:tr>
      <w:tr>
        <w:trPr>
          <w:trHeight w:hRule="atLeast" w:val="101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0,14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1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bottom"/>
          </w:tcPr>
          <w:p w14:paraId="2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Прочие безвозмездные поступления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0,90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0,91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5,56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2,54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17,5</w:t>
            </w:r>
          </w:p>
        </w:tc>
        <w:tc>
          <w:tcPr>
            <w:tcW w:type="dxa" w:w="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10,0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10,0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</w:t>
            </w:r>
          </w:p>
        </w:tc>
      </w:tr>
      <w:tr>
        <w:trPr>
          <w:trHeight w:hRule="atLeast" w:val="286"/>
        </w:trPr>
        <w:tc>
          <w:tcPr>
            <w:tcW w:type="dxa" w:w="425"/>
            <w:gridSpan w:val="1"/>
            <w:vMerge w:val="continue"/>
            <w:tcBorders>
              <w:top w:sz="4" w:val="nil"/>
              <w:left w:color="000000" w:sz="8" w:val="single"/>
              <w:bottom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-0,68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-0,40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E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3F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-0,68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0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-0,82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1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-3,93</w:t>
            </w:r>
          </w:p>
        </w:tc>
        <w:tc>
          <w:tcPr>
            <w:tcW w:type="dxa" w:w="91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2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98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3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4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7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79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7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79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2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B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2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Общий объем расходов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1226,08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1487,15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1661,32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1817,1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2501,71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1733,85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4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1403,7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5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1404,43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6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1419,4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7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1661,4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8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1709,9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9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1760,0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A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1811,5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B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1864,6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C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1919,2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D010000">
            <w:pPr>
              <w:widowControl w:val="1"/>
              <w:spacing w:afterAutospacing="on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1975,5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3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Дефицит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(-) /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профицит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(+)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0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-4,41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1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19,28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2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-10,11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3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2,49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4,24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-13,79</w:t>
            </w:r>
          </w:p>
        </w:tc>
        <w:tc>
          <w:tcPr>
            <w:tcW w:type="dxa" w:w="91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-9,8</w:t>
            </w:r>
          </w:p>
        </w:tc>
        <w:tc>
          <w:tcPr>
            <w:tcW w:type="dxa" w:w="9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-9,6</w:t>
            </w:r>
          </w:p>
        </w:tc>
        <w:tc>
          <w:tcPr>
            <w:tcW w:type="dxa" w:w="85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-10,2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77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8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B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C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77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D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79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E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  <w:tc>
          <w:tcPr>
            <w:tcW w:type="dxa" w:w="82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6F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-6,9</w:t>
            </w:r>
          </w:p>
        </w:tc>
      </w:tr>
    </w:tbl>
    <w:p w14:paraId="70010000">
      <w:pPr>
        <w:pStyle w:val="Style_4"/>
        <w:widowControl w:val="1"/>
        <w:ind w:firstLine="540"/>
        <w:jc w:val="right"/>
        <w:rPr>
          <w:rFonts w:ascii="Times New Roman" w:hAnsi="Times New Roman"/>
          <w:sz w:val="20"/>
        </w:rPr>
      </w:pPr>
    </w:p>
    <w:p w14:paraId="7101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1023"/>
        <w:gridCol w:w="4329"/>
      </w:tblGrid>
      <w:tr>
        <w:tc>
          <w:tcPr>
            <w:tcW w:type="dxa" w:w="110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2010000">
            <w:pPr>
              <w:pStyle w:val="Style_4"/>
              <w:widowControl w:val="1"/>
              <w:tabs>
                <w:tab w:leader="none" w:pos="960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type="dxa" w:w="432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301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</w:t>
            </w:r>
            <w:r>
              <w:rPr>
                <w:rFonts w:ascii="Times New Roman" w:hAnsi="Times New Roman"/>
                <w:sz w:val="20"/>
              </w:rPr>
              <w:t xml:space="preserve"> №2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7401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 xml:space="preserve">к бюджетному прогнозу </w:t>
            </w:r>
          </w:p>
          <w:p w14:paraId="7501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>округа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14:paraId="76010000">
            <w:pPr>
              <w:pStyle w:val="Style_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долгосрочный период до 2035 года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77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</w:p>
    <w:p w14:paraId="78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ПОКАЗАТЕЛИ</w:t>
      </w:r>
    </w:p>
    <w:p w14:paraId="79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Финансового обеспечения муниципальных программ </w:t>
      </w:r>
      <w:r>
        <w:rPr>
          <w:rFonts w:ascii="Times New Roman" w:hAnsi="Times New Roman"/>
          <w:sz w:val="24"/>
        </w:rPr>
        <w:t xml:space="preserve">и непрограммных направлений деятельности </w:t>
      </w:r>
    </w:p>
    <w:p w14:paraId="7A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Крапивинского муниципального </w:t>
      </w:r>
      <w:r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на период их действия, </w:t>
      </w:r>
      <w:r>
        <w:rPr>
          <w:rFonts w:ascii="Times New Roman" w:hAnsi="Times New Roman"/>
          <w:sz w:val="24"/>
        </w:rPr>
        <w:t>млн</w:t>
      </w:r>
      <w:r>
        <w:rPr>
          <w:rFonts w:ascii="Times New Roman" w:hAnsi="Times New Roman"/>
          <w:sz w:val="24"/>
        </w:rPr>
        <w:t>.р</w:t>
      </w:r>
      <w:r>
        <w:rPr>
          <w:rFonts w:ascii="Times New Roman" w:hAnsi="Times New Roman"/>
          <w:sz w:val="24"/>
        </w:rPr>
        <w:t>уб</w:t>
      </w:r>
      <w:r>
        <w:rPr>
          <w:rFonts w:ascii="Times New Roman" w:hAnsi="Times New Roman"/>
          <w:sz w:val="24"/>
        </w:rPr>
        <w:t>.</w:t>
      </w:r>
    </w:p>
    <w:p w14:paraId="7B010000">
      <w:pPr>
        <w:pStyle w:val="Style_4"/>
        <w:widowControl w:val="1"/>
        <w:ind w:firstLine="540"/>
        <w:jc w:val="center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jc w:val="center"/>
        <w:tblInd w:type="dxa" w:w="-318"/>
        <w:tblLayout w:type="fixed"/>
      </w:tblPr>
      <w:tblGrid>
        <w:gridCol w:w="425"/>
        <w:gridCol w:w="2305"/>
        <w:gridCol w:w="850"/>
        <w:gridCol w:w="862"/>
        <w:gridCol w:w="892"/>
        <w:gridCol w:w="843"/>
        <w:gridCol w:w="925"/>
        <w:gridCol w:w="888"/>
        <w:gridCol w:w="914"/>
        <w:gridCol w:w="925"/>
        <w:gridCol w:w="711"/>
        <w:gridCol w:w="842"/>
        <w:gridCol w:w="840"/>
        <w:gridCol w:w="851"/>
        <w:gridCol w:w="850"/>
        <w:gridCol w:w="851"/>
        <w:gridCol w:w="846"/>
        <w:gridCol w:w="857"/>
      </w:tblGrid>
      <w:tr>
        <w:trPr>
          <w:trHeight w:hRule="atLeast" w:val="300"/>
        </w:trPr>
        <w:tc>
          <w:tcPr>
            <w:tcW w:type="dxa" w:w="42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Наименование муниципальной программы Крапивинского муниципального округа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2020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2021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2022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2023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2024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2025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2026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2027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2028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2029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2030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2031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2032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2033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2034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2035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</w:tr>
      <w:tr>
        <w:trPr>
          <w:trHeight w:hRule="atLeast" w:val="207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</w:tr>
      <w:tr>
        <w:trPr>
          <w:trHeight w:hRule="atLeast" w:val="893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A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«Организация местного самоуправления в Крапивинском муниципальном округе»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2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84,62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3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93,897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98,71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123,5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136,77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130,57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125,13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125,33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126,22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145,00</w:t>
            </w:r>
          </w:p>
        </w:tc>
      </w:tr>
      <w:tr>
        <w:trPr>
          <w:trHeight w:hRule="atLeast" w:val="881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B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«Развитие образования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4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570,4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5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610,277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646,52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739,03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839,39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821,59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687,24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672,34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665,42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823,00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856,05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864,55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890,25</w:t>
            </w:r>
          </w:p>
        </w:tc>
      </w:tr>
      <w:tr>
        <w:trPr>
          <w:trHeight w:hRule="atLeast" w:val="894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C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«Социальная поддержка населения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6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122,21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7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101,261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122,93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166,72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165,71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127,2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86,20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86,46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90,63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115,00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115,00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115,00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120,00</w:t>
            </w:r>
          </w:p>
        </w:tc>
      </w:tr>
      <w:tr>
        <w:trPr>
          <w:trHeight w:hRule="atLeast" w:val="641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D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«Культура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8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165,99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9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154,313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161,75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B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201,99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C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216,9</w:t>
            </w: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196,54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164,46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162,59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162,59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225,00</w:t>
            </w:r>
          </w:p>
        </w:tc>
      </w:tr>
      <w:tr>
        <w:trPr>
          <w:trHeight w:hRule="atLeast" w:val="264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E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«Информационная обеспеченность жителей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A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2,87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B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3,368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C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3,55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D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3,9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E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4,54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4,76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F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122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F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«Имущественный комплекс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C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10,03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D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10,634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E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12,71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F01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15,48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94,9</w:t>
            </w: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12,92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12,80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15,00</w:t>
            </w:r>
          </w:p>
        </w:tc>
      </w:tr>
      <w:tr>
        <w:trPr>
          <w:trHeight w:hRule="atLeast" w:val="40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** МП «Развитие муниципального бюджетного учреждения «Автохозяйство Крапивинского </w:t>
            </w:r>
            <w:r>
              <w:rPr>
                <w:rFonts w:ascii="Times New Roman" w:hAnsi="Times New Roman"/>
                <w:sz w:val="18"/>
              </w:rPr>
              <w:t>муниципального округа»/ МП «Пассажирские перевозки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20,09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25,428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25,49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28,38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34,93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31,42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23,90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23,90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23,90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45,00</w:t>
            </w:r>
          </w:p>
        </w:tc>
      </w:tr>
      <w:tr>
        <w:trPr>
          <w:trHeight w:hRule="atLeast" w:val="154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 МП «Жилищно-коммунальный и дорожный комплекс, энергосбережение и повышение энергетической эффективности на территории Крапивинского муниципального округа» / МП «Жилищно-коммунальный комплекс, энергосбережение и повышение энергетической эффективности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150,05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362,663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430,91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275,25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640,39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199,97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123,31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134,74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134,74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162,60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179,00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230,00</w:t>
            </w:r>
          </w:p>
        </w:tc>
      </w:tr>
      <w:tr>
        <w:trPr>
          <w:trHeight w:hRule="atLeast" w:val="1249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3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 МП «Обеспечение безопасности жизнедеятельности населения на территории Крапивинского муниципального округа»/ МП «Обеспечение безопасности жизнедеятельности населения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4,23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5,426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8,02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5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52,56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43,32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31,97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12,72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10,85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13,34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30,00</w:t>
            </w:r>
          </w:p>
        </w:tc>
      </w:tr>
      <w:tr>
        <w:trPr>
          <w:trHeight w:hRule="atLeast" w:val="882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4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«Развитие сферы малого и среднего предпринимательства  Крапивинского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2,05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5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0,03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4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972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5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«Модернизация объектов социальной сферы и жилого фонда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11,44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13,236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22,82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9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19,51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20,90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8,44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5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12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«Развитие информационного общества» в  Крапивинском муниципальном округе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2,3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3,12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4,07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3,40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4,74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2,73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97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«Развитие муниципальной службы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0,08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0,005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0,12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0,06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0,18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0,03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108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«Поощрение граждан, организаций за заслуги в социально-экономическом развитии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1,79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1,517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2,39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2,32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3,35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1,68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1,42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1,42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1,42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2,50</w:t>
            </w:r>
          </w:p>
        </w:tc>
      </w:tr>
      <w:tr>
        <w:trPr>
          <w:trHeight w:hRule="atLeast" w:val="708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9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«Жилище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E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9,22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F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5,532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14,81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1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7,77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3,62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14,57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3,65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3,48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3,48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4,50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4,50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4,50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A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</w:tr>
      <w:tr>
        <w:trPr>
          <w:trHeight w:hRule="atLeast" w:val="973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A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** МП «Благоустройство и дорожное хозяйство» на территории Крапивинского муниципального округа/ МП «Благоустройство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0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59,72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1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56,978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60,6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45,31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72,85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79,09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12,50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12,41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12,41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48,00</w:t>
            </w:r>
          </w:p>
        </w:tc>
      </w:tr>
      <w:tr>
        <w:trPr>
          <w:trHeight w:hRule="atLeast" w:val="690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C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«Профилактика безнадзорности и правонарушений несовершеннолетних»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2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0,46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3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0,457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0,56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5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0,57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0,63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0,62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972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D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«Улучшение условий и охраны труда в Крапивинском муниципальном округе»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4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0,77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5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1,298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1,33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1,66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2,02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0,67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1,15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1,15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1,15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1,60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1,60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D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1,70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1,80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1,80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E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1,90</w:t>
            </w:r>
          </w:p>
        </w:tc>
      </w:tr>
      <w:tr>
        <w:trPr>
          <w:trHeight w:hRule="atLeast" w:val="1350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E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«Поддержка социально ориентированных некоммерческих организаций в Крапивинском муниципальном округе»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6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7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0,313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0,73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9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0,83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0,93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0,84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0,70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0,70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0,70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E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0,90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0,90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0,90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F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1,10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«Формирование современной городской </w:t>
            </w:r>
            <w:r>
              <w:rPr>
                <w:rFonts w:ascii="Times New Roman" w:hAnsi="Times New Roman"/>
                <w:sz w:val="18"/>
              </w:rPr>
              <w:t>среды в Крапивинском муниципальном округе»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7,63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8,588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7,71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29,26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13,99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4,37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6,35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4,11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4,15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5,50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0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«Развитие туризма в Крапивинском муниципальном округе»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A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0,1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B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1,701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0,16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D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3,07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0,66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0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0,22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0,40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0,40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0,40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0,40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0,55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0,55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0,55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1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«Профилактика экстремизма» на территории Крапивинского муниципального округа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D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0,002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0,001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1F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0,001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0,01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0,01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2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«Профилактика терроризма, минимизация и ликвидация последствий его проявлений на территории Крапивинского муниципального округа Кемеровской области - Кузбасса»/ МП «Профилактика экстремизма и терроризма, минимизация и ликвидация последствий его проявлений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F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3,19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7,17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1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13,49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2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13,82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3,56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4,17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4,80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6,69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3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6,5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3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3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«Развитие физической культуры и спорта Крапивинского муниципального округа»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1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22,846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2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24,78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3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32,73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4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34,11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22,89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19,50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19,50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19,50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23,10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4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5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«Предупреждение возникновения, распространения и ликвидации заразных и незаразных заболеваний животных и птицы, в том числе общих для человека и животных на территории 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2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3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1,1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4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2,96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5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4,9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6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2,5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1,50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5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6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243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</w:tcPr>
          <w:p w14:paraId="6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type="dxa" w:w="230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6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 «Чистая вода»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4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5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6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7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8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83,6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6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7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7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7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7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МП «Дорожное хозяйство и национальная экономика на территории </w:t>
            </w:r>
            <w:r>
              <w:rPr>
                <w:rFonts w:ascii="Times New Roman" w:hAnsi="Times New Roman"/>
                <w:sz w:val="18"/>
              </w:rPr>
              <w:t>Крапивинского муниципального округа»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43,1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61,27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30,80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113,66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110,86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105,86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120,00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130,00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</w:tcPr>
          <w:p w14:paraId="8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МП «Государственная национальная политика в Крапивинском муниципальном округе»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8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9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A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B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0,02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8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type="dxa" w:w="2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Непрограммное направление деятельности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0,52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2,33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5,5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4,89</w:t>
            </w:r>
          </w:p>
        </w:tc>
        <w:tc>
          <w:tcPr>
            <w:tcW w:type="dxa" w:w="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4,45</w:t>
            </w:r>
          </w:p>
        </w:tc>
        <w:tc>
          <w:tcPr>
            <w:tcW w:type="dxa" w:w="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1,20</w:t>
            </w:r>
          </w:p>
        </w:tc>
      </w:tr>
      <w:tr>
        <w:trPr>
          <w:trHeight w:hRule="atLeast" w:val="315"/>
        </w:trPr>
        <w:tc>
          <w:tcPr>
            <w:tcW w:type="dxa" w:w="42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type="dxa" w:w="230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Условно утвержденные расходы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C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6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D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9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AF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0,0</w:t>
            </w:r>
          </w:p>
        </w:tc>
        <w:tc>
          <w:tcPr>
            <w:tcW w:type="dxa" w:w="888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914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type="dxa" w:w="925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17,20</w:t>
            </w:r>
          </w:p>
        </w:tc>
        <w:tc>
          <w:tcPr>
            <w:tcW w:type="dxa" w:w="71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34,60</w:t>
            </w:r>
          </w:p>
        </w:tc>
        <w:tc>
          <w:tcPr>
            <w:tcW w:type="dxa" w:w="84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37,00</w:t>
            </w:r>
          </w:p>
        </w:tc>
        <w:tc>
          <w:tcPr>
            <w:tcW w:type="dxa" w:w="84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39,00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40,00</w:t>
            </w:r>
          </w:p>
        </w:tc>
        <w:tc>
          <w:tcPr>
            <w:tcW w:type="dxa" w:w="851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41,50</w:t>
            </w:r>
          </w:p>
        </w:tc>
        <w:tc>
          <w:tcPr>
            <w:tcW w:type="dxa" w:w="846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42,50</w:t>
            </w:r>
          </w:p>
        </w:tc>
        <w:tc>
          <w:tcPr>
            <w:tcW w:type="dxa" w:w="85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B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43,50</w:t>
            </w:r>
          </w:p>
        </w:tc>
      </w:tr>
      <w:tr>
        <w:trPr>
          <w:trHeight w:hRule="atLeast" w:val="240"/>
        </w:trPr>
        <w:tc>
          <w:tcPr>
            <w:tcW w:type="dxa" w:w="42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30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ВСЕГО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E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1226,08</w:t>
            </w:r>
          </w:p>
        </w:tc>
        <w:tc>
          <w:tcPr>
            <w:tcW w:type="dxa" w:w="86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BF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1487,1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5</w:t>
            </w:r>
          </w:p>
        </w:tc>
        <w:tc>
          <w:tcPr>
            <w:tcW w:type="dxa" w:w="89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0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1661,32</w:t>
            </w:r>
          </w:p>
        </w:tc>
        <w:tc>
          <w:tcPr>
            <w:tcW w:type="dxa" w:w="8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1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1817,12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C203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2501,71</w:t>
            </w:r>
          </w:p>
        </w:tc>
        <w:tc>
          <w:tcPr>
            <w:tcW w:type="dxa" w:w="88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1733,85</w:t>
            </w:r>
          </w:p>
        </w:tc>
        <w:tc>
          <w:tcPr>
            <w:tcW w:type="dxa" w:w="91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1403,7</w:t>
            </w:r>
          </w:p>
        </w:tc>
        <w:tc>
          <w:tcPr>
            <w:tcW w:type="dxa" w:w="92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1404,43</w:t>
            </w:r>
          </w:p>
        </w:tc>
        <w:tc>
          <w:tcPr>
            <w:tcW w:type="dxa" w:w="71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1419,4</w:t>
            </w:r>
          </w:p>
        </w:tc>
        <w:tc>
          <w:tcPr>
            <w:tcW w:type="dxa" w:w="84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1661,4</w:t>
            </w:r>
          </w:p>
        </w:tc>
        <w:tc>
          <w:tcPr>
            <w:tcW w:type="dxa" w:w="84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1709,9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1760,0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1811,5</w:t>
            </w:r>
          </w:p>
        </w:tc>
        <w:tc>
          <w:tcPr>
            <w:tcW w:type="dxa" w:w="8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1864,6</w:t>
            </w:r>
          </w:p>
        </w:tc>
        <w:tc>
          <w:tcPr>
            <w:tcW w:type="dxa" w:w="84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1919,2</w:t>
            </w:r>
          </w:p>
        </w:tc>
        <w:tc>
          <w:tcPr>
            <w:tcW w:type="dxa" w:w="85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1975,5</w:t>
            </w:r>
          </w:p>
        </w:tc>
      </w:tr>
    </w:tbl>
    <w:p w14:paraId="CE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CF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D0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>Данная муниципальная программа утратила свое действие и объединена с</w:t>
      </w:r>
      <w:r>
        <w:rPr>
          <w:rFonts w:ascii="Times New Roman" w:hAnsi="Times New Roman"/>
          <w:sz w:val="20"/>
        </w:rPr>
        <w:t xml:space="preserve"> друг</w:t>
      </w:r>
      <w:r>
        <w:rPr>
          <w:rFonts w:ascii="Times New Roman" w:hAnsi="Times New Roman"/>
          <w:sz w:val="20"/>
        </w:rPr>
        <w:t>ой</w:t>
      </w:r>
      <w:r>
        <w:rPr>
          <w:rFonts w:ascii="Times New Roman" w:hAnsi="Times New Roman"/>
          <w:sz w:val="20"/>
        </w:rPr>
        <w:t xml:space="preserve"> муниципальн</w:t>
      </w:r>
      <w:r>
        <w:rPr>
          <w:rFonts w:ascii="Times New Roman" w:hAnsi="Times New Roman"/>
          <w:sz w:val="20"/>
        </w:rPr>
        <w:t>ой</w:t>
      </w:r>
      <w:r>
        <w:rPr>
          <w:rFonts w:ascii="Times New Roman" w:hAnsi="Times New Roman"/>
          <w:sz w:val="20"/>
        </w:rPr>
        <w:t xml:space="preserve"> программ</w:t>
      </w:r>
      <w:r>
        <w:rPr>
          <w:rFonts w:ascii="Times New Roman" w:hAnsi="Times New Roman"/>
          <w:sz w:val="20"/>
        </w:rPr>
        <w:t>ой с 01.01.2026 года</w:t>
      </w:r>
      <w:r>
        <w:rPr>
          <w:rFonts w:ascii="Times New Roman" w:hAnsi="Times New Roman"/>
          <w:sz w:val="20"/>
        </w:rPr>
        <w:t>.</w:t>
      </w:r>
    </w:p>
    <w:p w14:paraId="D1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 xml:space="preserve">Данная муниципальная программа преобразована  с 01.01.2026 года / новое наименование </w:t>
      </w:r>
      <w:r>
        <w:rPr>
          <w:rFonts w:ascii="Times New Roman" w:hAnsi="Times New Roman"/>
          <w:sz w:val="20"/>
        </w:rPr>
        <w:t>муниципальн</w:t>
      </w:r>
      <w:r>
        <w:rPr>
          <w:rFonts w:ascii="Times New Roman" w:hAnsi="Times New Roman"/>
          <w:sz w:val="20"/>
        </w:rPr>
        <w:t>ой</w:t>
      </w:r>
      <w:r>
        <w:rPr>
          <w:rFonts w:ascii="Times New Roman" w:hAnsi="Times New Roman"/>
          <w:sz w:val="20"/>
        </w:rPr>
        <w:t xml:space="preserve"> программ</w:t>
      </w:r>
      <w:r>
        <w:rPr>
          <w:rFonts w:ascii="Times New Roman" w:hAnsi="Times New Roman"/>
          <w:sz w:val="20"/>
        </w:rPr>
        <w:t>ы</w:t>
      </w:r>
      <w:r>
        <w:rPr>
          <w:rFonts w:ascii="Times New Roman" w:hAnsi="Times New Roman"/>
          <w:sz w:val="20"/>
        </w:rPr>
        <w:t xml:space="preserve"> с 01.01.2026 года.</w:t>
      </w:r>
    </w:p>
    <w:p w14:paraId="D2030000">
      <w:pPr>
        <w:pStyle w:val="Style_4"/>
        <w:widowControl w:val="1"/>
        <w:ind/>
        <w:jc w:val="both"/>
      </w:pPr>
    </w:p>
    <w:sectPr>
      <w:headerReference r:id="rId11" w:type="default"/>
      <w:headerReference r:id="rId3" w:type="first"/>
      <w:headerReference r:id="rId7" w:type="even"/>
      <w:footerReference r:id="rId12" w:type="default"/>
      <w:footerReference r:id="rId4" w:type="first"/>
      <w:footerReference r:id="rId8" w:type="even"/>
      <w:pgSz w:h="11905" w:orient="landscape" w:w="16838"/>
      <w:pgMar w:bottom="1134" w:footer="0" w:gutter="0" w:header="454" w:left="85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ConsPlusTitle"/>
    <w:link w:val="Style_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7_ch" w:type="character">
    <w:name w:val="ConsPlusTitle"/>
    <w:link w:val="Style_7"/>
    <w:rPr>
      <w:rFonts w:ascii="Calibri" w:hAnsi="Calibri"/>
      <w:b w:val="1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List Paragraph"/>
    <w:basedOn w:val="Style_6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6_ch"/>
    <w:link w:val="Style_13"/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DocList"/>
    <w:link w:val="Style_1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DocList"/>
    <w:link w:val="Style_15"/>
    <w:rPr>
      <w:rFonts w:ascii="Courier New" w:hAnsi="Courier New"/>
      <w:sz w:val="20"/>
    </w:rPr>
  </w:style>
  <w:style w:styleId="Style_16" w:type="paragraph">
    <w:name w:val="No Spacing"/>
    <w:link w:val="Style_16_ch"/>
    <w:pPr>
      <w:widowControl w:val="1"/>
      <w:spacing w:after="0" w:line="240" w:lineRule="auto"/>
      <w:ind/>
    </w:pPr>
  </w:style>
  <w:style w:styleId="Style_16_ch" w:type="character">
    <w:name w:val="No Spacing"/>
    <w:link w:val="Style_16"/>
  </w:style>
  <w:style w:styleId="Style_17" w:type="paragraph">
    <w:name w:val="ConsPlusNonformat"/>
    <w:link w:val="Style_1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alloon Text"/>
    <w:basedOn w:val="Style_6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6_ch"/>
    <w:link w:val="Style_19"/>
    <w:rPr>
      <w:rFonts w:ascii="Tahoma" w:hAnsi="Tahoma"/>
      <w:sz w:val="16"/>
    </w:rPr>
  </w:style>
  <w:style w:styleId="Style_20" w:type="paragraph">
    <w:name w:val="heading 5"/>
    <w:basedOn w:val="Style_6"/>
    <w:next w:val="Style_6"/>
    <w:link w:val="Style_20_ch"/>
    <w:uiPriority w:val="9"/>
    <w:qFormat/>
    <w:pPr>
      <w:keepNext w:val="1"/>
      <w:widowControl w:val="1"/>
      <w:spacing w:after="0" w:before="120" w:line="240" w:lineRule="auto"/>
      <w:ind/>
      <w:jc w:val="center"/>
      <w:outlineLvl w:val="4"/>
    </w:pPr>
    <w:rPr>
      <w:rFonts w:ascii="Times New Roman" w:hAnsi="Times New Roman"/>
      <w:b w:val="1"/>
      <w:sz w:val="28"/>
    </w:rPr>
  </w:style>
  <w:style w:styleId="Style_20_ch" w:type="character">
    <w:name w:val="heading 5"/>
    <w:basedOn w:val="Style_6_ch"/>
    <w:link w:val="Style_20"/>
    <w:rPr>
      <w:rFonts w:ascii="Times New Roman" w:hAnsi="Times New Roman"/>
      <w:b w:val="1"/>
      <w:sz w:val="28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ConsPlusTitlePage"/>
    <w:link w:val="Style_2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2_ch" w:type="character">
    <w:name w:val="ConsPlusTitlePage"/>
    <w:link w:val="Style_22"/>
    <w:rPr>
      <w:rFonts w:ascii="Tahoma" w:hAnsi="Tahoma"/>
      <w:sz w:val="20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3" w:type="paragraph">
    <w:name w:val="Hyperlink"/>
    <w:basedOn w:val="Style_24"/>
    <w:link w:val="Style_23_ch"/>
    <w:rPr>
      <w:color w:val="0000FF"/>
      <w:u w:val="none"/>
    </w:rPr>
  </w:style>
  <w:style w:styleId="Style_23_ch" w:type="character">
    <w:name w:val="Hyperlink"/>
    <w:basedOn w:val="Style_24_ch"/>
    <w:link w:val="Style_23"/>
    <w:rPr>
      <w:color w:val="0000FF"/>
      <w:u w:val="non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ConsPlusTextList"/>
    <w:link w:val="Style_2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9_ch" w:type="character">
    <w:name w:val="ConsPlusTextList"/>
    <w:link w:val="Style_29"/>
    <w:rPr>
      <w:rFonts w:ascii="Arial" w:hAnsi="Arial"/>
      <w:sz w:val="20"/>
    </w:rPr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31" w:type="paragraph">
    <w:name w:val="ConsPlusJurTerm"/>
    <w:link w:val="Style_31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31_ch" w:type="character">
    <w:name w:val="ConsPlusJurTerm"/>
    <w:link w:val="Style_31"/>
    <w:rPr>
      <w:rFonts w:ascii="Tahoma" w:hAnsi="Tahoma"/>
      <w:sz w:val="26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33" w:type="paragraph">
    <w:name w:val="Subtitle"/>
    <w:next w:val="Style_6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6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basedOn w:val="Style_6"/>
    <w:next w:val="Style_6"/>
    <w:link w:val="Style_35_ch"/>
    <w:uiPriority w:val="9"/>
    <w:qFormat/>
    <w:pPr>
      <w:keepNext w:val="1"/>
      <w:widowControl w:val="1"/>
      <w:spacing w:after="0" w:line="240" w:lineRule="auto"/>
      <w:ind/>
      <w:jc w:val="center"/>
      <w:outlineLvl w:val="3"/>
    </w:pPr>
    <w:rPr>
      <w:rFonts w:ascii="Times New Roman" w:hAnsi="Times New Roman"/>
      <w:b w:val="1"/>
      <w:sz w:val="36"/>
    </w:rPr>
  </w:style>
  <w:style w:styleId="Style_35_ch" w:type="character">
    <w:name w:val="heading 4"/>
    <w:basedOn w:val="Style_6_ch"/>
    <w:link w:val="Style_35"/>
    <w:rPr>
      <w:rFonts w:ascii="Times New Roman" w:hAnsi="Times New Roman"/>
      <w:b w:val="1"/>
      <w:sz w:val="36"/>
    </w:rPr>
  </w:style>
  <w:style w:styleId="Style_36" w:type="paragraph">
    <w:name w:val="heading 2"/>
    <w:next w:val="Style_6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Cell"/>
    <w:link w:val="Style_3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7_ch" w:type="character">
    <w:name w:val="ConsPlusCell"/>
    <w:link w:val="Style_37"/>
    <w:rPr>
      <w:rFonts w:ascii="Courier New" w:hAnsi="Courier New"/>
      <w:sz w:val="20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2023-02-04T09:14:00Z</dcterms:created>
  <dcterms:modified xsi:type="dcterms:W3CDTF">2026-02-09T07:38:50Z</dcterms:modified>
</cp:coreProperties>
</file>