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rPr>
          <w:sz w:val="20"/>
        </w:rPr>
      </w:pPr>
    </w:p>
    <w:tbl>
      <w:tblPr>
        <w:tblStyle w:val="Style_2"/>
        <w:tblW w:type="auto" w:w="0"/>
        <w:tblLayout w:type="fixed"/>
      </w:tblPr>
      <w:tblGrid>
        <w:gridCol w:w="4785"/>
        <w:gridCol w:w="4785"/>
      </w:tblGrid>
      <w:tr>
        <w:tc>
          <w:tcPr>
            <w:tcW w:type="dxa" w:w="4785"/>
            <w:shd w:fill="auto" w:val="clear"/>
          </w:tcPr>
          <w:p w14:paraId="03000000">
            <w:pPr>
              <w:rPr>
                <w:sz w:val="20"/>
              </w:rPr>
            </w:pPr>
          </w:p>
        </w:tc>
        <w:tc>
          <w:tcPr>
            <w:tcW w:type="dxa" w:w="4785"/>
            <w:shd w:fill="auto" w:val="clear"/>
          </w:tcPr>
          <w:p w14:paraId="04000000">
            <w:pPr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14:paraId="05000000">
            <w:pPr>
              <w:rPr>
                <w:sz w:val="28"/>
              </w:rPr>
            </w:pPr>
            <w:r>
              <w:rPr>
                <w:sz w:val="28"/>
              </w:rPr>
              <w:t>к постановлению администрации</w:t>
            </w:r>
          </w:p>
          <w:p w14:paraId="06000000">
            <w:pPr>
              <w:rPr>
                <w:sz w:val="28"/>
              </w:rPr>
            </w:pPr>
            <w:r>
              <w:rPr>
                <w:sz w:val="28"/>
              </w:rPr>
              <w:t>Крапивинского муниципального округа</w:t>
            </w:r>
          </w:p>
          <w:p w14:paraId="07000000">
            <w:pPr>
              <w:rPr>
                <w:sz w:val="28"/>
              </w:rPr>
            </w:pPr>
            <w:r>
              <w:rPr>
                <w:sz w:val="28"/>
              </w:rPr>
              <w:t xml:space="preserve">от </w:t>
            </w:r>
            <w:r>
              <w:rPr>
                <w:sz w:val="28"/>
              </w:rPr>
              <w:t>__________</w:t>
            </w:r>
            <w:r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  <w:r>
              <w:rPr>
                <w:sz w:val="28"/>
              </w:rPr>
              <w:t xml:space="preserve"> № </w:t>
            </w:r>
            <w:r>
              <w:rPr>
                <w:sz w:val="28"/>
              </w:rPr>
              <w:t>________</w:t>
            </w:r>
          </w:p>
          <w:p w14:paraId="08000000">
            <w:pPr>
              <w:rPr>
                <w:sz w:val="20"/>
              </w:rPr>
            </w:pPr>
          </w:p>
        </w:tc>
      </w:tr>
    </w:tbl>
    <w:p w14:paraId="09000000">
      <w:pPr>
        <w:widowControl w:val="1"/>
        <w:spacing w:before="120"/>
        <w:ind/>
        <w:jc w:val="center"/>
        <w:rPr>
          <w:b w:val="1"/>
          <w:sz w:val="28"/>
        </w:rPr>
      </w:pPr>
      <w:r>
        <w:rPr>
          <w:b w:val="1"/>
          <w:sz w:val="28"/>
        </w:rPr>
        <w:t>Основные направления</w:t>
      </w:r>
      <w:r>
        <w:rPr>
          <w:b w:val="1"/>
          <w:caps w:val="1"/>
          <w:sz w:val="28"/>
        </w:rPr>
        <w:t xml:space="preserve"> </w:t>
      </w:r>
      <w:r>
        <w:rPr>
          <w:b w:val="1"/>
          <w:sz w:val="28"/>
        </w:rPr>
        <w:t>до</w:t>
      </w:r>
      <w:r>
        <w:rPr>
          <w:b w:val="1"/>
          <w:sz w:val="28"/>
        </w:rPr>
        <w:t>лговой политики</w:t>
      </w:r>
    </w:p>
    <w:p w14:paraId="0A000000">
      <w:pPr>
        <w:widowControl w:val="1"/>
        <w:spacing w:after="120"/>
        <w:ind/>
        <w:jc w:val="center"/>
        <w:rPr>
          <w:b w:val="1"/>
          <w:sz w:val="28"/>
        </w:rPr>
      </w:pPr>
      <w:r>
        <w:rPr>
          <w:b w:val="1"/>
          <w:sz w:val="28"/>
        </w:rPr>
        <w:t>Крапивинского</w:t>
      </w:r>
      <w:r>
        <w:rPr>
          <w:b w:val="1"/>
          <w:sz w:val="28"/>
        </w:rPr>
        <w:t xml:space="preserve"> муниципального округа</w:t>
      </w:r>
      <w:r>
        <w:rPr>
          <w:b w:val="1"/>
          <w:sz w:val="28"/>
        </w:rPr>
        <w:t xml:space="preserve">  </w:t>
      </w:r>
      <w:r>
        <w:rPr>
          <w:b w:val="1"/>
          <w:sz w:val="28"/>
        </w:rPr>
        <w:t>на 202</w:t>
      </w:r>
      <w:r>
        <w:rPr>
          <w:b w:val="1"/>
          <w:sz w:val="28"/>
        </w:rPr>
        <w:t>7</w:t>
      </w:r>
      <w:r>
        <w:rPr>
          <w:b w:val="1"/>
          <w:sz w:val="28"/>
        </w:rPr>
        <w:t xml:space="preserve"> год и на плановый период 202</w:t>
      </w:r>
      <w:r>
        <w:rPr>
          <w:b w:val="1"/>
          <w:sz w:val="28"/>
        </w:rPr>
        <w:t>8</w:t>
      </w:r>
      <w:r>
        <w:rPr>
          <w:b w:val="1"/>
          <w:sz w:val="28"/>
        </w:rPr>
        <w:t xml:space="preserve"> и 202</w:t>
      </w:r>
      <w:r>
        <w:rPr>
          <w:b w:val="1"/>
          <w:sz w:val="28"/>
        </w:rPr>
        <w:t>9</w:t>
      </w:r>
      <w:r>
        <w:rPr>
          <w:b w:val="1"/>
          <w:sz w:val="28"/>
        </w:rPr>
        <w:t xml:space="preserve"> годов</w:t>
      </w:r>
    </w:p>
    <w:p w14:paraId="0B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 xml:space="preserve">олговой политикой </w:t>
      </w:r>
      <w:r>
        <w:rPr>
          <w:rFonts w:ascii="Times New Roman" w:hAnsi="Times New Roman"/>
          <w:sz w:val="28"/>
        </w:rPr>
        <w:t xml:space="preserve">Крапивинского муниципального округа </w:t>
      </w:r>
      <w:r>
        <w:rPr>
          <w:rFonts w:ascii="Times New Roman" w:hAnsi="Times New Roman"/>
          <w:sz w:val="28"/>
        </w:rPr>
        <w:t>(далее – Долговая политика)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понимается стратегия управления </w:t>
      </w:r>
      <w:r>
        <w:rPr>
          <w:rFonts w:ascii="Times New Roman" w:hAnsi="Times New Roman"/>
          <w:sz w:val="28"/>
        </w:rPr>
        <w:t xml:space="preserve">муниципальными </w:t>
      </w:r>
      <w:r>
        <w:rPr>
          <w:rFonts w:ascii="Times New Roman" w:hAnsi="Times New Roman"/>
          <w:sz w:val="28"/>
        </w:rPr>
        <w:t xml:space="preserve">заимствованиями </w:t>
      </w:r>
      <w:r>
        <w:rPr>
          <w:rFonts w:ascii="Times New Roman" w:hAnsi="Times New Roman"/>
          <w:sz w:val="28"/>
        </w:rPr>
        <w:t>Крапивинского муниципального округа</w:t>
      </w:r>
      <w:r>
        <w:rPr>
          <w:rFonts w:ascii="Times New Roman" w:hAnsi="Times New Roman"/>
          <w:sz w:val="28"/>
        </w:rPr>
        <w:t xml:space="preserve">, направленная на эффективное регулирование </w:t>
      </w:r>
      <w:r>
        <w:rPr>
          <w:rFonts w:ascii="Times New Roman" w:hAnsi="Times New Roman"/>
          <w:sz w:val="28"/>
        </w:rPr>
        <w:t>муниципаль</w:t>
      </w:r>
      <w:r>
        <w:rPr>
          <w:rFonts w:ascii="Times New Roman" w:hAnsi="Times New Roman"/>
          <w:sz w:val="28"/>
        </w:rPr>
        <w:t xml:space="preserve">ного долга </w:t>
      </w:r>
      <w:r>
        <w:rPr>
          <w:rFonts w:ascii="Times New Roman" w:hAnsi="Times New Roman"/>
          <w:sz w:val="28"/>
        </w:rPr>
        <w:t>Крапивинского муниципального округа</w:t>
      </w:r>
      <w:r>
        <w:rPr>
          <w:rFonts w:ascii="Times New Roman" w:hAnsi="Times New Roman"/>
          <w:sz w:val="28"/>
        </w:rPr>
        <w:t xml:space="preserve">, поддержание его объема на безопасном уровне, минимизацию стоимости его обслуживания, равномерное распределение во времени платежей, связанных с погашением и обслуживанием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долга </w:t>
      </w:r>
      <w:r>
        <w:rPr>
          <w:rFonts w:ascii="Times New Roman" w:hAnsi="Times New Roman"/>
          <w:sz w:val="28"/>
        </w:rPr>
        <w:t>Крапивинского муниципального округа</w:t>
      </w:r>
      <w:r>
        <w:rPr>
          <w:rFonts w:ascii="Times New Roman" w:hAnsi="Times New Roman"/>
          <w:sz w:val="28"/>
        </w:rPr>
        <w:t>, и снижение влияния долговой нагрузки на бюджет</w:t>
      </w:r>
      <w:r>
        <w:rPr>
          <w:rFonts w:ascii="Times New Roman" w:hAnsi="Times New Roman"/>
          <w:sz w:val="28"/>
        </w:rPr>
        <w:t xml:space="preserve"> округа</w:t>
      </w:r>
      <w:r>
        <w:rPr>
          <w:rFonts w:ascii="Times New Roman" w:hAnsi="Times New Roman"/>
          <w:sz w:val="28"/>
        </w:rPr>
        <w:t>, а также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поддержани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кредитного рейтинга Крапивинского муниципального округа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как надежного заемщика на финансовом рынке</w:t>
      </w:r>
      <w:r>
        <w:rPr>
          <w:rFonts w:ascii="Times New Roman" w:hAnsi="Times New Roman"/>
          <w:sz w:val="28"/>
        </w:rPr>
        <w:t>.</w:t>
      </w:r>
    </w:p>
    <w:p w14:paraId="0C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Основные направления долговой политики устанавливают факторы, определяющие характер, цели, задачи и инструменты ее реализации, анализ рисков, возникающих в процессе управления муниципальным долгом </w:t>
      </w:r>
      <w:r>
        <w:rPr>
          <w:sz w:val="28"/>
        </w:rPr>
        <w:t>Крапивинского муниципального округа</w:t>
      </w:r>
      <w:r>
        <w:rPr>
          <w:sz w:val="28"/>
        </w:rPr>
        <w:t xml:space="preserve"> (далее - муниципальный долг).</w:t>
      </w:r>
    </w:p>
    <w:p w14:paraId="0D000000">
      <w:pPr>
        <w:widowControl w:val="1"/>
        <w:ind w:firstLine="709"/>
        <w:jc w:val="both"/>
        <w:rPr>
          <w:rStyle w:val="Style_4_ch"/>
          <w:sz w:val="28"/>
        </w:rPr>
      </w:pPr>
      <w:r>
        <w:rPr>
          <w:sz w:val="28"/>
        </w:rPr>
        <w:t xml:space="preserve">Долговая политика </w:t>
      </w:r>
      <w:r>
        <w:rPr>
          <w:sz w:val="28"/>
        </w:rPr>
        <w:t>на 202</w:t>
      </w:r>
      <w:r>
        <w:rPr>
          <w:sz w:val="28"/>
        </w:rPr>
        <w:t>7</w:t>
      </w:r>
      <w:r>
        <w:rPr>
          <w:sz w:val="28"/>
        </w:rPr>
        <w:t>-202</w:t>
      </w:r>
      <w:r>
        <w:rPr>
          <w:sz w:val="28"/>
        </w:rPr>
        <w:t>9</w:t>
      </w:r>
      <w:r>
        <w:rPr>
          <w:sz w:val="28"/>
        </w:rPr>
        <w:t xml:space="preserve"> годы </w:t>
      </w:r>
      <w:r>
        <w:rPr>
          <w:sz w:val="28"/>
        </w:rPr>
        <w:t>основыв</w:t>
      </w:r>
      <w:r>
        <w:rPr>
          <w:sz w:val="28"/>
        </w:rPr>
        <w:t>ается</w:t>
      </w:r>
      <w:r>
        <w:rPr>
          <w:sz w:val="28"/>
        </w:rPr>
        <w:t xml:space="preserve"> на </w:t>
      </w:r>
      <w:r>
        <w:rPr>
          <w:sz w:val="28"/>
        </w:rPr>
        <w:t xml:space="preserve">данные </w:t>
      </w:r>
      <w:r>
        <w:rPr>
          <w:sz w:val="28"/>
        </w:rPr>
        <w:t>П</w:t>
      </w:r>
      <w:r>
        <w:rPr>
          <w:rStyle w:val="Style_4_ch"/>
          <w:sz w:val="28"/>
        </w:rPr>
        <w:t>рогноз</w:t>
      </w:r>
      <w:r>
        <w:rPr>
          <w:rStyle w:val="Style_4_ch"/>
          <w:sz w:val="28"/>
        </w:rPr>
        <w:t>а</w:t>
      </w:r>
      <w:r>
        <w:rPr>
          <w:rStyle w:val="Style_4_ch"/>
          <w:sz w:val="28"/>
        </w:rPr>
        <w:t xml:space="preserve"> социально-экономического развития Крапивинского муниципального </w:t>
      </w:r>
      <w:r>
        <w:rPr>
          <w:rStyle w:val="Style_4_ch"/>
          <w:sz w:val="28"/>
        </w:rPr>
        <w:t>округа</w:t>
      </w:r>
      <w:r>
        <w:rPr>
          <w:rStyle w:val="Style_4_ch"/>
          <w:sz w:val="28"/>
        </w:rPr>
        <w:t xml:space="preserve"> на 202</w:t>
      </w:r>
      <w:r>
        <w:rPr>
          <w:rStyle w:val="Style_4_ch"/>
          <w:sz w:val="28"/>
        </w:rPr>
        <w:t>7</w:t>
      </w:r>
      <w:r>
        <w:rPr>
          <w:rStyle w:val="Style_4_ch"/>
          <w:sz w:val="28"/>
        </w:rPr>
        <w:t xml:space="preserve"> год и плановый период до 202</w:t>
      </w:r>
      <w:r>
        <w:rPr>
          <w:rStyle w:val="Style_4_ch"/>
          <w:sz w:val="28"/>
        </w:rPr>
        <w:t>9</w:t>
      </w:r>
      <w:r>
        <w:rPr>
          <w:rStyle w:val="Style_4_ch"/>
          <w:sz w:val="28"/>
        </w:rPr>
        <w:t xml:space="preserve"> года</w:t>
      </w:r>
      <w:r>
        <w:rPr>
          <w:rStyle w:val="Style_4_ch"/>
          <w:sz w:val="28"/>
        </w:rPr>
        <w:t xml:space="preserve"> (утвержденный </w:t>
      </w:r>
      <w:r>
        <w:rPr>
          <w:sz w:val="28"/>
        </w:rPr>
        <w:t>постановлени</w:t>
      </w:r>
      <w:r>
        <w:rPr>
          <w:sz w:val="28"/>
        </w:rPr>
        <w:t>ем</w:t>
      </w:r>
      <w:r>
        <w:rPr>
          <w:sz w:val="28"/>
        </w:rPr>
        <w:t xml:space="preserve"> администрации Крапивинского муниципального </w:t>
      </w:r>
      <w:r>
        <w:rPr>
          <w:sz w:val="28"/>
        </w:rPr>
        <w:t xml:space="preserve">округа </w:t>
      </w:r>
      <w:r>
        <w:rPr>
          <w:sz w:val="28"/>
        </w:rPr>
        <w:t>от 1</w:t>
      </w:r>
      <w:r>
        <w:rPr>
          <w:sz w:val="28"/>
        </w:rPr>
        <w:t>7</w:t>
      </w:r>
      <w:r>
        <w:rPr>
          <w:sz w:val="28"/>
        </w:rPr>
        <w:t>.07.202</w:t>
      </w:r>
      <w:r>
        <w:rPr>
          <w:sz w:val="28"/>
        </w:rPr>
        <w:t>6</w:t>
      </w:r>
      <w:r>
        <w:rPr>
          <w:sz w:val="28"/>
        </w:rPr>
        <w:t xml:space="preserve"> № </w:t>
      </w:r>
      <w:r>
        <w:rPr>
          <w:sz w:val="28"/>
        </w:rPr>
        <w:t>7</w:t>
      </w:r>
      <w:r>
        <w:rPr>
          <w:sz w:val="28"/>
        </w:rPr>
        <w:t>45</w:t>
      </w:r>
      <w:r>
        <w:rPr>
          <w:sz w:val="28"/>
        </w:rPr>
        <w:t>)</w:t>
      </w:r>
      <w:r>
        <w:rPr>
          <w:sz w:val="28"/>
        </w:rPr>
        <w:t>,</w:t>
      </w:r>
      <w:r>
        <w:rPr>
          <w:sz w:val="28"/>
        </w:rPr>
        <w:t xml:space="preserve"> ориентирована на достижение показателей, определенных </w:t>
      </w:r>
      <w:r>
        <w:rPr>
          <w:rStyle w:val="Style_4_ch"/>
          <w:sz w:val="28"/>
        </w:rPr>
        <w:t>Стратегией социально-экономического развития</w:t>
      </w:r>
      <w:r>
        <w:rPr>
          <w:rStyle w:val="Style_4_ch"/>
          <w:sz w:val="28"/>
        </w:rPr>
        <w:t xml:space="preserve"> </w:t>
      </w:r>
      <w:r>
        <w:rPr>
          <w:rStyle w:val="Style_4_ch"/>
          <w:sz w:val="28"/>
        </w:rPr>
        <w:t xml:space="preserve"> </w:t>
      </w:r>
      <w:r>
        <w:rPr>
          <w:rStyle w:val="Style_4_ch"/>
          <w:sz w:val="28"/>
        </w:rPr>
        <w:t>Крапивинского</w:t>
      </w:r>
      <w:r>
        <w:rPr>
          <w:rStyle w:val="Style_4_ch"/>
          <w:sz w:val="28"/>
        </w:rPr>
        <w:t xml:space="preserve"> муниципального округа </w:t>
      </w:r>
      <w:r>
        <w:rPr>
          <w:rStyle w:val="Style_4_ch"/>
          <w:sz w:val="28"/>
        </w:rPr>
        <w:t>до</w:t>
      </w:r>
      <w:r>
        <w:rPr>
          <w:rStyle w:val="Style_4_ch"/>
          <w:sz w:val="28"/>
        </w:rPr>
        <w:t xml:space="preserve"> 2035</w:t>
      </w:r>
      <w:r>
        <w:rPr>
          <w:rStyle w:val="Style_4_ch"/>
          <w:sz w:val="28"/>
        </w:rPr>
        <w:t xml:space="preserve"> года</w:t>
      </w:r>
      <w:r>
        <w:rPr>
          <w:rStyle w:val="Style_4_ch"/>
          <w:sz w:val="28"/>
        </w:rPr>
        <w:t xml:space="preserve"> (</w:t>
      </w:r>
      <w:r>
        <w:rPr>
          <w:rStyle w:val="Style_4_ch"/>
          <w:sz w:val="28"/>
        </w:rPr>
        <w:t xml:space="preserve">утвержденной </w:t>
      </w:r>
      <w:r>
        <w:rPr>
          <w:rStyle w:val="Style_4_ch"/>
          <w:sz w:val="28"/>
        </w:rPr>
        <w:t xml:space="preserve">решением Совета народных депутатов </w:t>
      </w:r>
      <w:r>
        <w:rPr>
          <w:rStyle w:val="Style_4_ch"/>
          <w:sz w:val="28"/>
        </w:rPr>
        <w:t>Крапивинского</w:t>
      </w:r>
      <w:r>
        <w:rPr>
          <w:rStyle w:val="Style_4_ch"/>
          <w:sz w:val="28"/>
        </w:rPr>
        <w:t xml:space="preserve"> муниципального округа</w:t>
      </w:r>
      <w:r>
        <w:rPr>
          <w:rStyle w:val="Style_4_ch"/>
          <w:sz w:val="28"/>
        </w:rPr>
        <w:t xml:space="preserve"> </w:t>
      </w:r>
      <w:r>
        <w:rPr>
          <w:rStyle w:val="Style_4_ch"/>
          <w:sz w:val="28"/>
        </w:rPr>
        <w:t>от 03.09.2018 №129</w:t>
      </w:r>
      <w:r>
        <w:rPr>
          <w:rStyle w:val="Style_4_ch"/>
          <w:sz w:val="28"/>
        </w:rPr>
        <w:t>)</w:t>
      </w:r>
      <w:r>
        <w:rPr>
          <w:rStyle w:val="Style_4_ch"/>
          <w:sz w:val="28"/>
        </w:rPr>
        <w:t xml:space="preserve"> и реализуется с учетом П</w:t>
      </w:r>
      <w:r>
        <w:rPr>
          <w:rStyle w:val="Style_4_ch"/>
          <w:sz w:val="28"/>
        </w:rPr>
        <w:t>лана мероприятий по финансовому оздоровлению Крапивинского муниципального округа на 2027–2029 годы (утвержденным постановлением администрации Крапивинского муниципального округа от 22.04.2026 № 409)</w:t>
      </w:r>
      <w:r>
        <w:rPr>
          <w:rStyle w:val="Style_4_ch"/>
          <w:sz w:val="28"/>
        </w:rPr>
        <w:t>.</w:t>
      </w:r>
    </w:p>
    <w:p w14:paraId="0E000000">
      <w:pPr>
        <w:widowControl w:val="1"/>
        <w:numPr>
          <w:ilvl w:val="0"/>
          <w:numId w:val="1"/>
        </w:numPr>
        <w:spacing w:after="120" w:before="120"/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>Итоги реализации Д</w:t>
      </w:r>
      <w:r>
        <w:rPr>
          <w:b w:val="1"/>
          <w:sz w:val="28"/>
        </w:rPr>
        <w:t xml:space="preserve">олговой политики </w:t>
      </w:r>
      <w:r>
        <w:rPr>
          <w:b w:val="1"/>
          <w:sz w:val="28"/>
        </w:rPr>
        <w:t>за 202</w:t>
      </w:r>
      <w:r>
        <w:rPr>
          <w:b w:val="1"/>
          <w:sz w:val="28"/>
        </w:rPr>
        <w:t xml:space="preserve">5 </w:t>
      </w:r>
      <w:r>
        <w:rPr>
          <w:b w:val="1"/>
          <w:sz w:val="28"/>
        </w:rPr>
        <w:t>год</w:t>
      </w:r>
      <w:r>
        <w:rPr>
          <w:b w:val="1"/>
          <w:sz w:val="28"/>
        </w:rPr>
        <w:t xml:space="preserve"> и истекший период 2026 года</w:t>
      </w:r>
    </w:p>
    <w:p w14:paraId="0F000000">
      <w:pPr>
        <w:widowControl w:val="1"/>
        <w:tabs>
          <w:tab w:leader="none" w:pos="284" w:val="left"/>
        </w:tabs>
        <w:ind w:firstLine="709"/>
        <w:jc w:val="both"/>
        <w:rPr>
          <w:sz w:val="28"/>
        </w:rPr>
      </w:pPr>
      <w:r>
        <w:rPr>
          <w:sz w:val="28"/>
        </w:rPr>
        <w:t>Заемные средства в 202</w:t>
      </w:r>
      <w:r>
        <w:rPr>
          <w:sz w:val="28"/>
        </w:rPr>
        <w:t>6</w:t>
      </w:r>
      <w:r>
        <w:rPr>
          <w:sz w:val="28"/>
        </w:rPr>
        <w:t xml:space="preserve"> году не привлекались.</w:t>
      </w:r>
      <w:r>
        <w:rPr>
          <w:sz w:val="22"/>
        </w:rPr>
        <w:t xml:space="preserve"> </w:t>
      </w:r>
      <w:r>
        <w:rPr>
          <w:sz w:val="28"/>
        </w:rPr>
        <w:t xml:space="preserve">Муниципальный долг в Крапивинском муниципальном округе отсутствует на момент принятия настоящего постановления. </w:t>
      </w:r>
    </w:p>
    <w:p w14:paraId="10000000">
      <w:pPr>
        <w:widowControl w:val="1"/>
        <w:tabs>
          <w:tab w:leader="none" w:pos="284" w:val="left"/>
        </w:tabs>
        <w:ind w:firstLine="709"/>
        <w:jc w:val="both"/>
        <w:rPr>
          <w:sz w:val="28"/>
        </w:rPr>
      </w:pPr>
      <w:r>
        <w:rPr>
          <w:sz w:val="28"/>
        </w:rPr>
        <w:t>Заемные средства в 202</w:t>
      </w:r>
      <w:r>
        <w:rPr>
          <w:sz w:val="28"/>
        </w:rPr>
        <w:t>5</w:t>
      </w:r>
      <w:r>
        <w:rPr>
          <w:sz w:val="28"/>
        </w:rPr>
        <w:t xml:space="preserve"> году не привлекались.</w:t>
      </w:r>
      <w:r>
        <w:rPr>
          <w:sz w:val="22"/>
        </w:rPr>
        <w:t xml:space="preserve"> </w:t>
      </w:r>
    </w:p>
    <w:p w14:paraId="11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202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года согласно статье 107.1 Бюджетного кодекса Российской Федерации все </w:t>
      </w:r>
      <w:r>
        <w:rPr>
          <w:rFonts w:ascii="Times New Roman" w:hAnsi="Times New Roman"/>
          <w:sz w:val="28"/>
        </w:rPr>
        <w:t>муниципальные образования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Кемеровской области – Кузбасса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ежегодно делятся на группы заемщиков по уровням долговой устойчивости в соответствии с </w:t>
      </w:r>
      <w:r>
        <w:rPr>
          <w:rFonts w:ascii="Times New Roman" w:hAnsi="Times New Roman"/>
          <w:sz w:val="28"/>
        </w:rPr>
        <w:t>постановлением Правительства Кемеровской обла</w:t>
      </w:r>
      <w:r>
        <w:rPr>
          <w:rFonts w:ascii="Times New Roman" w:hAnsi="Times New Roman"/>
          <w:sz w:val="28"/>
        </w:rPr>
        <w:t xml:space="preserve">сти – Кузбасса от 27.11.2020 № </w:t>
      </w:r>
      <w:r>
        <w:rPr>
          <w:rFonts w:ascii="Times New Roman" w:hAnsi="Times New Roman"/>
          <w:sz w:val="28"/>
        </w:rPr>
        <w:t>697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Об утверждении Порядка оценки долговой устойчивости муниципальных образований Кемеровской области – Кузбасса</w:t>
      </w:r>
      <w:r>
        <w:rPr>
          <w:rFonts w:ascii="Times New Roman" w:hAnsi="Times New Roman"/>
          <w:sz w:val="28"/>
        </w:rPr>
        <w:t>».</w:t>
      </w:r>
    </w:p>
    <w:p w14:paraId="12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</w:t>
      </w:r>
      <w:r>
        <w:rPr>
          <w:sz w:val="28"/>
        </w:rPr>
        <w:t xml:space="preserve">приказом Минфина </w:t>
      </w:r>
      <w:r>
        <w:rPr>
          <w:sz w:val="28"/>
        </w:rPr>
        <w:t xml:space="preserve">от </w:t>
      </w:r>
      <w:r>
        <w:rPr>
          <w:sz w:val="28"/>
        </w:rPr>
        <w:t>27</w:t>
      </w:r>
      <w:r>
        <w:rPr>
          <w:sz w:val="28"/>
        </w:rPr>
        <w:t>.0</w:t>
      </w:r>
      <w:r>
        <w:rPr>
          <w:sz w:val="28"/>
        </w:rPr>
        <w:t>8</w:t>
      </w:r>
      <w:r>
        <w:rPr>
          <w:sz w:val="28"/>
        </w:rPr>
        <w:t>.202</w:t>
      </w:r>
      <w:r>
        <w:rPr>
          <w:sz w:val="28"/>
        </w:rPr>
        <w:t>6 №110</w:t>
      </w:r>
      <w:r>
        <w:rPr>
          <w:sz w:val="28"/>
        </w:rPr>
        <w:t xml:space="preserve"> «Об утверждении Перечня муниципальных образований Кемеровской области –</w:t>
      </w:r>
      <w:r>
        <w:rPr>
          <w:sz w:val="28"/>
        </w:rPr>
        <w:t xml:space="preserve"> Кузбасса, отнесенных к группам долговой устойчивости в 202</w:t>
      </w:r>
      <w:r>
        <w:rPr>
          <w:sz w:val="28"/>
        </w:rPr>
        <w:t>6</w:t>
      </w:r>
      <w:r>
        <w:rPr>
          <w:sz w:val="28"/>
        </w:rPr>
        <w:t xml:space="preserve"> году»</w:t>
      </w:r>
      <w:r>
        <w:rPr>
          <w:sz w:val="28"/>
        </w:rPr>
        <w:t>,</w:t>
      </w:r>
      <w:r>
        <w:rPr>
          <w:sz w:val="28"/>
        </w:rPr>
        <w:t xml:space="preserve"> опубликованн</w:t>
      </w:r>
      <w:r>
        <w:rPr>
          <w:sz w:val="28"/>
        </w:rPr>
        <w:t>ым</w:t>
      </w:r>
      <w:r>
        <w:rPr>
          <w:sz w:val="28"/>
        </w:rPr>
        <w:t xml:space="preserve"> на сайте Министерства финансов </w:t>
      </w:r>
      <w:r>
        <w:rPr>
          <w:sz w:val="28"/>
        </w:rPr>
        <w:t>Кузбасса</w:t>
      </w:r>
      <w:r>
        <w:rPr>
          <w:sz w:val="28"/>
        </w:rPr>
        <w:t xml:space="preserve">, </w:t>
      </w:r>
      <w:r>
        <w:rPr>
          <w:sz w:val="28"/>
        </w:rPr>
        <w:t>Крапивинский муниципальный округ</w:t>
      </w:r>
      <w:r>
        <w:rPr>
          <w:sz w:val="28"/>
        </w:rPr>
        <w:t xml:space="preserve"> отнес</w:t>
      </w:r>
      <w:r>
        <w:rPr>
          <w:sz w:val="28"/>
        </w:rPr>
        <w:t>ё</w:t>
      </w:r>
      <w:r>
        <w:rPr>
          <w:sz w:val="28"/>
        </w:rPr>
        <w:t xml:space="preserve">н к группе заемщиков с высоким уровнем долговой устойчивости. </w:t>
      </w:r>
    </w:p>
    <w:p w14:paraId="13000000">
      <w:pPr>
        <w:widowControl w:val="1"/>
        <w:numPr>
          <w:ilvl w:val="0"/>
          <w:numId w:val="1"/>
        </w:numPr>
        <w:spacing w:after="120" w:before="120"/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>Основные факторы, опред</w:t>
      </w:r>
      <w:r>
        <w:rPr>
          <w:b w:val="1"/>
          <w:sz w:val="28"/>
        </w:rPr>
        <w:t>еляющие характер и направления Д</w:t>
      </w:r>
      <w:r>
        <w:rPr>
          <w:b w:val="1"/>
          <w:sz w:val="28"/>
        </w:rPr>
        <w:t>олговой политики</w:t>
      </w:r>
    </w:p>
    <w:p w14:paraId="14000000">
      <w:pPr>
        <w:widowControl w:val="1"/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Долговая политика </w:t>
      </w:r>
      <w:r>
        <w:rPr>
          <w:color w:val="000000"/>
          <w:sz w:val="28"/>
        </w:rPr>
        <w:t>на 202</w:t>
      </w:r>
      <w:r>
        <w:rPr>
          <w:color w:val="000000"/>
          <w:sz w:val="28"/>
        </w:rPr>
        <w:t>7</w:t>
      </w:r>
      <w:r>
        <w:rPr>
          <w:color w:val="000000"/>
          <w:sz w:val="28"/>
        </w:rPr>
        <w:t>-202</w:t>
      </w:r>
      <w:r>
        <w:rPr>
          <w:color w:val="000000"/>
          <w:sz w:val="28"/>
        </w:rPr>
        <w:t>9</w:t>
      </w:r>
      <w:r>
        <w:rPr>
          <w:color w:val="000000"/>
          <w:sz w:val="28"/>
        </w:rPr>
        <w:t xml:space="preserve"> годы </w:t>
      </w:r>
      <w:r>
        <w:rPr>
          <w:color w:val="000000"/>
          <w:sz w:val="28"/>
        </w:rPr>
        <w:t xml:space="preserve"> выстраива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>тся из принципа финансовой устойчивости б</w:t>
      </w:r>
      <w:r>
        <w:rPr>
          <w:color w:val="000000"/>
          <w:sz w:val="28"/>
        </w:rPr>
        <w:t xml:space="preserve">юджета Крапивинского муниципального округа </w:t>
      </w:r>
      <w:r>
        <w:rPr>
          <w:color w:val="000000"/>
          <w:sz w:val="28"/>
        </w:rPr>
        <w:t>к возможным негативным последствиям,</w:t>
      </w:r>
      <w:r>
        <w:rPr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 xml:space="preserve"> поддержани</w:t>
      </w:r>
      <w:r>
        <w:rPr>
          <w:sz w:val="28"/>
        </w:rPr>
        <w:t>и</w:t>
      </w:r>
      <w:r>
        <w:rPr>
          <w:sz w:val="28"/>
        </w:rPr>
        <w:t xml:space="preserve"> объема муниципального долга на экономически безопасном уровне.</w:t>
      </w:r>
    </w:p>
    <w:p w14:paraId="15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Основными факторами, определяющими характер </w:t>
      </w:r>
      <w:r>
        <w:rPr>
          <w:sz w:val="28"/>
        </w:rPr>
        <w:t>Д</w:t>
      </w:r>
      <w:r>
        <w:rPr>
          <w:sz w:val="28"/>
        </w:rPr>
        <w:t>олговой политики при исполнении бюджета</w:t>
      </w:r>
      <w:r>
        <w:rPr>
          <w:sz w:val="28"/>
        </w:rPr>
        <w:t xml:space="preserve"> </w:t>
      </w:r>
      <w:r>
        <w:rPr>
          <w:sz w:val="28"/>
        </w:rPr>
        <w:t>Крапивинского</w:t>
      </w:r>
      <w:r>
        <w:rPr>
          <w:sz w:val="28"/>
        </w:rPr>
        <w:t xml:space="preserve"> муниципального</w:t>
      </w:r>
      <w:r>
        <w:rPr>
          <w:sz w:val="28"/>
        </w:rPr>
        <w:t xml:space="preserve"> округа, будут являться: </w:t>
      </w:r>
    </w:p>
    <w:p w14:paraId="16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 xml:space="preserve">риски снижения налоговых и неналоговых доходов бюджета, вследствие ухудшения общеэкономической ситуации в </w:t>
      </w:r>
      <w:r>
        <w:rPr>
          <w:sz w:val="28"/>
        </w:rPr>
        <w:t>округе</w:t>
      </w:r>
      <w:r>
        <w:rPr>
          <w:sz w:val="28"/>
        </w:rPr>
        <w:t>;</w:t>
      </w:r>
    </w:p>
    <w:p w14:paraId="17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изменения норм федерального и областного законодательства, влекущие за собой снижение доходов и (или) увеличение расходов бюджета округа;</w:t>
      </w:r>
    </w:p>
    <w:p w14:paraId="18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риски роста процентных ставок, обусловленные как ухудшением экономической ситуации в стране, так и неблагоприятными внешнеполитическими факторами</w:t>
      </w:r>
      <w:r>
        <w:rPr>
          <w:sz w:val="28"/>
        </w:rPr>
        <w:t>.</w:t>
      </w:r>
    </w:p>
    <w:p w14:paraId="19000000">
      <w:pPr>
        <w:pStyle w:val="Style_3"/>
        <w:widowControl w:val="1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Существенное влияние на долговую политику также оказывает проводимая Центральным  банком Российской Федерации денежно-кредитная  политика, принимаемые  решения по уровню ключевой ставки, что влияет на конъюнктуру финансового (долгового) рынка. Поскольку в среднесрочной перспективе в качестве одного из источников финансирования дефицита бюджета сохраняется кредиты кредитных организаций, важнейшим  мероприятием  при реализации Долговой политики является мониторинг рынка финансовых услуг.</w:t>
      </w:r>
    </w:p>
    <w:p w14:paraId="1A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Накопление негативных факторов может повлиять на уровень долговой нагрузки и, как следствие, рост расходов на обслуживание муниципального долга.</w:t>
      </w:r>
    </w:p>
    <w:p w14:paraId="1B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Приоритетами Долговой политики в 202</w:t>
      </w:r>
      <w:r>
        <w:rPr>
          <w:sz w:val="28"/>
        </w:rPr>
        <w:t>7</w:t>
      </w:r>
      <w:r>
        <w:rPr>
          <w:sz w:val="28"/>
        </w:rPr>
        <w:t>-</w:t>
      </w:r>
      <w:r>
        <w:rPr>
          <w:sz w:val="28"/>
        </w:rPr>
        <w:t>202</w:t>
      </w:r>
      <w:r>
        <w:rPr>
          <w:sz w:val="28"/>
        </w:rPr>
        <w:t>9</w:t>
      </w:r>
      <w:r>
        <w:rPr>
          <w:sz w:val="28"/>
        </w:rPr>
        <w:t xml:space="preserve"> годах </w:t>
      </w:r>
      <w:r>
        <w:rPr>
          <w:sz w:val="28"/>
        </w:rPr>
        <w:t>будут являться:</w:t>
      </w:r>
    </w:p>
    <w:p w14:paraId="1C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обеспечение полного и своевременного исполнения принятых</w:t>
      </w:r>
      <w:r>
        <w:rPr>
          <w:sz w:val="28"/>
        </w:rPr>
        <w:t xml:space="preserve"> расходных обязательств </w:t>
      </w:r>
      <w:r>
        <w:rPr>
          <w:color w:val="000000"/>
          <w:sz w:val="28"/>
        </w:rPr>
        <w:t>Крапивинского муниципального округа</w:t>
      </w:r>
      <w:r>
        <w:rPr>
          <w:sz w:val="28"/>
        </w:rPr>
        <w:t>;</w:t>
      </w:r>
    </w:p>
    <w:p w14:paraId="1D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сохранени</w:t>
      </w:r>
      <w:r>
        <w:rPr>
          <w:sz w:val="28"/>
        </w:rPr>
        <w:t>е</w:t>
      </w:r>
      <w:r>
        <w:rPr>
          <w:sz w:val="28"/>
        </w:rPr>
        <w:t xml:space="preserve"> позиции </w:t>
      </w:r>
      <w:r>
        <w:rPr>
          <w:sz w:val="28"/>
        </w:rPr>
        <w:t>в группе</w:t>
      </w:r>
      <w:r>
        <w:rPr>
          <w:sz w:val="28"/>
        </w:rPr>
        <w:t xml:space="preserve"> муниципальных образований</w:t>
      </w:r>
      <w:r>
        <w:rPr>
          <w:sz w:val="28"/>
        </w:rPr>
        <w:t xml:space="preserve"> </w:t>
      </w:r>
      <w:r>
        <w:rPr>
          <w:sz w:val="28"/>
        </w:rPr>
        <w:t>Кемеровской области</w:t>
      </w:r>
      <w:r>
        <w:rPr>
          <w:sz w:val="28"/>
        </w:rPr>
        <w:t xml:space="preserve"> – </w:t>
      </w:r>
      <w:r>
        <w:rPr>
          <w:sz w:val="28"/>
        </w:rPr>
        <w:t>Кузбассе</w:t>
      </w:r>
      <w:r>
        <w:rPr>
          <w:sz w:val="28"/>
        </w:rPr>
        <w:t xml:space="preserve"> с уровнем долговой устойчивости не ниже среднего</w:t>
      </w:r>
      <w:r>
        <w:rPr>
          <w:sz w:val="28"/>
        </w:rPr>
        <w:t xml:space="preserve"> в соответствии с системой оценки Министерства финансов </w:t>
      </w:r>
      <w:r>
        <w:rPr>
          <w:sz w:val="28"/>
        </w:rPr>
        <w:t>Кузбасса;</w:t>
      </w:r>
    </w:p>
    <w:p w14:paraId="1E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своевременное реагирование на конъюнктуру рынка услуг по привлечению рыночных заимствований;</w:t>
      </w:r>
    </w:p>
    <w:p w14:paraId="1F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контроль за изменениями</w:t>
      </w:r>
      <w:r>
        <w:rPr>
          <w:sz w:val="28"/>
        </w:rPr>
        <w:t xml:space="preserve">, вносимыми в бюджетное законодательство Российской Федерации. </w:t>
      </w:r>
    </w:p>
    <w:p w14:paraId="20000000">
      <w:pPr>
        <w:widowControl w:val="1"/>
        <w:numPr>
          <w:ilvl w:val="0"/>
          <w:numId w:val="1"/>
        </w:numPr>
        <w:spacing w:afterAutospacing="on" w:before="120"/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Цели и задачи </w:t>
      </w:r>
      <w:r>
        <w:rPr>
          <w:b w:val="1"/>
          <w:sz w:val="28"/>
        </w:rPr>
        <w:t>Д</w:t>
      </w:r>
      <w:r>
        <w:rPr>
          <w:b w:val="1"/>
          <w:sz w:val="28"/>
        </w:rPr>
        <w:t>олговой политики</w:t>
      </w:r>
    </w:p>
    <w:p w14:paraId="21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Целями Д</w:t>
      </w:r>
      <w:r>
        <w:rPr>
          <w:sz w:val="28"/>
        </w:rPr>
        <w:t>олговой политики являются:</w:t>
      </w:r>
    </w:p>
    <w:p w14:paraId="22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обеспечение сбалансированности бюджета </w:t>
      </w:r>
      <w:r>
        <w:rPr>
          <w:sz w:val="28"/>
        </w:rPr>
        <w:t xml:space="preserve">Крапивинского </w:t>
      </w:r>
      <w:r>
        <w:rPr>
          <w:sz w:val="28"/>
        </w:rPr>
        <w:t xml:space="preserve">муниципального округа  при </w:t>
      </w:r>
      <w:r>
        <w:rPr>
          <w:sz w:val="28"/>
        </w:rPr>
        <w:t xml:space="preserve"> </w:t>
      </w:r>
      <w:r>
        <w:rPr>
          <w:sz w:val="28"/>
        </w:rPr>
        <w:t>поддержании объема муниципального долга на экономически безопасном уровне, обеспечивающим возможность гарантированного выполнения муниципальным образованием обязательств по его погашению и обслуживанию</w:t>
      </w:r>
      <w:r>
        <w:rPr>
          <w:sz w:val="28"/>
        </w:rPr>
        <w:t xml:space="preserve"> при условии сохранения устойчивости бюджета округа</w:t>
      </w:r>
      <w:r>
        <w:rPr>
          <w:sz w:val="28"/>
        </w:rPr>
        <w:t xml:space="preserve">; </w:t>
      </w:r>
    </w:p>
    <w:p w14:paraId="23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своевременное исполнение долговых обязательств муниципального образования</w:t>
      </w:r>
      <w:r>
        <w:rPr>
          <w:sz w:val="28"/>
        </w:rPr>
        <w:t xml:space="preserve">, </w:t>
      </w:r>
      <w:r>
        <w:rPr>
          <w:sz w:val="28"/>
        </w:rPr>
        <w:t>отсутствие просроченной задолженности по долговым обязательствам</w:t>
      </w:r>
      <w:r>
        <w:rPr>
          <w:sz w:val="28"/>
        </w:rPr>
        <w:t>;</w:t>
      </w:r>
    </w:p>
    <w:p w14:paraId="24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обеспечение привлечения в бюджет </w:t>
      </w:r>
      <w:r>
        <w:rPr>
          <w:sz w:val="28"/>
        </w:rPr>
        <w:t>округа</w:t>
      </w:r>
      <w:r>
        <w:rPr>
          <w:sz w:val="28"/>
        </w:rPr>
        <w:t xml:space="preserve"> рыночных заимствований по ставкам на уровне не более чем уровень ключевой ставки, установленный Центральным банком Российской Федерации, увеличенный на 1 процент годовых; </w:t>
      </w:r>
    </w:p>
    <w:p w14:paraId="25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поддержание параметров муниципального долга в рамках, установленных бюджетным законодательством Российской Федерации. </w:t>
      </w:r>
    </w:p>
    <w:p w14:paraId="26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Задачами Д</w:t>
      </w:r>
      <w:r>
        <w:rPr>
          <w:sz w:val="28"/>
        </w:rPr>
        <w:t>олговой политики являются:</w:t>
      </w:r>
    </w:p>
    <w:p w14:paraId="27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 xml:space="preserve">повышение финансовой устойчивости бюджета Крапивинского </w:t>
      </w:r>
      <w:r>
        <w:rPr>
          <w:sz w:val="28"/>
        </w:rPr>
        <w:t>муниципального округа</w:t>
      </w:r>
      <w:r>
        <w:rPr>
          <w:sz w:val="28"/>
        </w:rPr>
        <w:t>;</w:t>
      </w:r>
    </w:p>
    <w:p w14:paraId="28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осуществление контроля за показателями долговой устойчивости бюджета </w:t>
      </w:r>
      <w:r>
        <w:rPr>
          <w:sz w:val="28"/>
        </w:rPr>
        <w:t>округа</w:t>
      </w:r>
      <w:r>
        <w:rPr>
          <w:sz w:val="28"/>
        </w:rPr>
        <w:t xml:space="preserve"> (предельными значениями, установленными Бюджетным кодексом Российской Федерации);</w:t>
      </w:r>
    </w:p>
    <w:p w14:paraId="29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- обеспечение своевременного и равномерного исполнения и обслуживания долговых обязательств;</w:t>
      </w:r>
    </w:p>
    <w:p w14:paraId="2A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- осуществление учета долговых обязательств своевременно и в полном объеме в муниципальной долговой книге;</w:t>
      </w:r>
    </w:p>
    <w:p w14:paraId="2B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обеспечение раскрытия информации о муниципальном долге; </w:t>
      </w:r>
    </w:p>
    <w:p w14:paraId="2C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управление рисками, связанными с осуществлением рыночных заимствований, гибкое реагирование на изменяющиеся условия рынка финансовых услуг; </w:t>
      </w:r>
    </w:p>
    <w:p w14:paraId="2D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обеспечение</w:t>
      </w:r>
      <w:r>
        <w:rPr>
          <w:sz w:val="28"/>
        </w:rPr>
        <w:t xml:space="preserve"> репутации </w:t>
      </w:r>
      <w:r>
        <w:rPr>
          <w:sz w:val="28"/>
        </w:rPr>
        <w:t xml:space="preserve">Крапивинского </w:t>
      </w:r>
      <w:r>
        <w:rPr>
          <w:sz w:val="28"/>
        </w:rPr>
        <w:t>муниципального округа</w:t>
      </w:r>
      <w:r>
        <w:rPr>
          <w:sz w:val="28"/>
        </w:rPr>
        <w:t xml:space="preserve"> </w:t>
      </w:r>
      <w:r>
        <w:rPr>
          <w:sz w:val="28"/>
        </w:rPr>
        <w:t>в качестве надежного заемщика.</w:t>
      </w:r>
    </w:p>
    <w:p w14:paraId="2E000000">
      <w:pPr>
        <w:widowControl w:val="0"/>
        <w:numPr>
          <w:ilvl w:val="0"/>
          <w:numId w:val="1"/>
        </w:numPr>
        <w:spacing w:after="120" w:before="120"/>
        <w:ind w:firstLine="0" w:left="0"/>
        <w:jc w:val="center"/>
        <w:rPr>
          <w:sz w:val="28"/>
        </w:rPr>
      </w:pPr>
      <w:r>
        <w:rPr>
          <w:b w:val="1"/>
          <w:sz w:val="28"/>
        </w:rPr>
        <w:t>Инструменты</w:t>
      </w:r>
      <w:r>
        <w:rPr>
          <w:b w:val="1"/>
          <w:sz w:val="28"/>
        </w:rPr>
        <w:t xml:space="preserve"> реализации Д</w:t>
      </w:r>
      <w:r>
        <w:rPr>
          <w:b w:val="1"/>
          <w:sz w:val="28"/>
        </w:rPr>
        <w:t>олговой политики</w:t>
      </w:r>
    </w:p>
    <w:p w14:paraId="2F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В целях обеспечения сбалансированности и устойчивости бюджета </w:t>
      </w:r>
      <w:r>
        <w:rPr>
          <w:sz w:val="28"/>
        </w:rPr>
        <w:t>Крапивинского муниципального округа</w:t>
      </w:r>
      <w:r>
        <w:rPr>
          <w:sz w:val="28"/>
        </w:rPr>
        <w:t xml:space="preserve"> </w:t>
      </w:r>
      <w:r>
        <w:rPr>
          <w:sz w:val="28"/>
        </w:rPr>
        <w:t>в 202</w:t>
      </w:r>
      <w:r>
        <w:rPr>
          <w:sz w:val="28"/>
        </w:rPr>
        <w:t>7</w:t>
      </w:r>
      <w:r>
        <w:rPr>
          <w:sz w:val="28"/>
        </w:rPr>
        <w:t>-</w:t>
      </w:r>
      <w:r>
        <w:rPr>
          <w:sz w:val="28"/>
        </w:rPr>
        <w:t>202</w:t>
      </w:r>
      <w:r>
        <w:rPr>
          <w:sz w:val="28"/>
        </w:rPr>
        <w:t>9</w:t>
      </w:r>
      <w:r>
        <w:rPr>
          <w:sz w:val="28"/>
        </w:rPr>
        <w:t xml:space="preserve"> годах будет продолжена реализация плана мероприятий</w:t>
      </w:r>
      <w:r>
        <w:rPr>
          <w:sz w:val="28"/>
        </w:rPr>
        <w:t xml:space="preserve">, утвержденного </w:t>
      </w:r>
      <w:r>
        <w:rPr>
          <w:sz w:val="28"/>
        </w:rPr>
        <w:t>постановлени</w:t>
      </w:r>
      <w:r>
        <w:rPr>
          <w:sz w:val="28"/>
        </w:rPr>
        <w:t xml:space="preserve">ем </w:t>
      </w:r>
      <w:r>
        <w:rPr>
          <w:sz w:val="28"/>
        </w:rPr>
        <w:t xml:space="preserve">администрации Крапивинского муниципального округа </w:t>
      </w:r>
      <w:r>
        <w:rPr>
          <w:sz w:val="28"/>
        </w:rPr>
        <w:t xml:space="preserve">от </w:t>
      </w:r>
      <w:r>
        <w:rPr>
          <w:sz w:val="28"/>
        </w:rPr>
        <w:t>2</w:t>
      </w:r>
      <w:r>
        <w:rPr>
          <w:sz w:val="28"/>
        </w:rPr>
        <w:t>2</w:t>
      </w:r>
      <w:r>
        <w:rPr>
          <w:sz w:val="28"/>
        </w:rPr>
        <w:t>.0</w:t>
      </w:r>
      <w:r>
        <w:rPr>
          <w:sz w:val="28"/>
        </w:rPr>
        <w:t>4</w:t>
      </w:r>
      <w:r>
        <w:rPr>
          <w:sz w:val="28"/>
        </w:rPr>
        <w:t>.202</w:t>
      </w:r>
      <w:r>
        <w:rPr>
          <w:sz w:val="28"/>
        </w:rPr>
        <w:t>6</w:t>
      </w:r>
      <w:r>
        <w:rPr>
          <w:sz w:val="28"/>
        </w:rPr>
        <w:t xml:space="preserve"> № </w:t>
      </w:r>
      <w:r>
        <w:rPr>
          <w:sz w:val="28"/>
        </w:rPr>
        <w:t>409</w:t>
      </w:r>
      <w:r>
        <w:rPr>
          <w:sz w:val="28"/>
        </w:rPr>
        <w:t xml:space="preserve"> (в ред. от 16.06.26 № 610)</w:t>
      </w:r>
      <w:r>
        <w:rPr>
          <w:sz w:val="28"/>
        </w:rPr>
        <w:t xml:space="preserve"> </w:t>
      </w:r>
      <w:r>
        <w:rPr>
          <w:sz w:val="28"/>
        </w:rPr>
        <w:t>«Об утверждении Программы финансового оздоровления Крапивинского муниципального округа на 202</w:t>
      </w:r>
      <w:r>
        <w:rPr>
          <w:sz w:val="28"/>
        </w:rPr>
        <w:t>6</w:t>
      </w:r>
      <w:r>
        <w:rPr>
          <w:sz w:val="28"/>
        </w:rPr>
        <w:t>-</w:t>
      </w:r>
      <w:r>
        <w:rPr>
          <w:sz w:val="28"/>
        </w:rPr>
        <w:t>202</w:t>
      </w:r>
      <w:r>
        <w:rPr>
          <w:sz w:val="28"/>
        </w:rPr>
        <w:t>9</w:t>
      </w:r>
      <w:r>
        <w:rPr>
          <w:sz w:val="28"/>
        </w:rPr>
        <w:t xml:space="preserve"> годы»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30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Для реализации </w:t>
      </w:r>
      <w:r>
        <w:rPr>
          <w:sz w:val="28"/>
        </w:rPr>
        <w:t>Д</w:t>
      </w:r>
      <w:r>
        <w:rPr>
          <w:sz w:val="28"/>
        </w:rPr>
        <w:t>олговой политики предполагается использование следующих инструментов:</w:t>
      </w:r>
    </w:p>
    <w:p w14:paraId="31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использование остатков средств </w:t>
      </w:r>
      <w:r>
        <w:rPr>
          <w:sz w:val="28"/>
        </w:rPr>
        <w:t>местного</w:t>
      </w:r>
      <w:r>
        <w:rPr>
          <w:sz w:val="28"/>
        </w:rPr>
        <w:t xml:space="preserve"> бюджета, </w:t>
      </w:r>
      <w:r>
        <w:rPr>
          <w:sz w:val="28"/>
        </w:rPr>
        <w:t>сложившихся на начало соответствующего финансового года</w:t>
      </w:r>
      <w:r>
        <w:rPr>
          <w:sz w:val="28"/>
        </w:rPr>
        <w:t xml:space="preserve">, для финансирования дефицита бюджета </w:t>
      </w:r>
      <w:r>
        <w:rPr>
          <w:sz w:val="28"/>
        </w:rPr>
        <w:t>Крапивинского муниципального округа</w:t>
      </w:r>
      <w:r>
        <w:rPr>
          <w:sz w:val="28"/>
        </w:rPr>
        <w:t>;</w:t>
      </w:r>
    </w:p>
    <w:p w14:paraId="32000000">
      <w:pPr>
        <w:widowControl w:val="1"/>
        <w:tabs>
          <w:tab w:leader="none" w:pos="993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привлечение временно свободных средств </w:t>
      </w:r>
      <w:r>
        <w:rPr>
          <w:sz w:val="28"/>
        </w:rPr>
        <w:t>с казначейских счетов на единый счет бюджета Крапивинского муниципального округа</w:t>
      </w:r>
      <w:r>
        <w:rPr>
          <w:sz w:val="28"/>
        </w:rPr>
        <w:t xml:space="preserve"> в целях </w:t>
      </w:r>
      <w:r>
        <w:rPr>
          <w:sz w:val="28"/>
        </w:rPr>
        <w:t>погашения обязательств</w:t>
      </w:r>
      <w:r>
        <w:rPr>
          <w:sz w:val="28"/>
        </w:rPr>
        <w:t>;</w:t>
      </w:r>
    </w:p>
    <w:p w14:paraId="33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увеличени</w:t>
      </w:r>
      <w:r>
        <w:rPr>
          <w:sz w:val="28"/>
        </w:rPr>
        <w:t>е поступлений доходов в бюджет округа</w:t>
      </w:r>
      <w:r>
        <w:rPr>
          <w:sz w:val="28"/>
        </w:rPr>
        <w:t xml:space="preserve"> и осуществлени</w:t>
      </w:r>
      <w:r>
        <w:rPr>
          <w:sz w:val="28"/>
        </w:rPr>
        <w:t>е</w:t>
      </w:r>
      <w:r>
        <w:rPr>
          <w:sz w:val="28"/>
        </w:rPr>
        <w:t xml:space="preserve"> эффективных расходов, недопущени</w:t>
      </w:r>
      <w:r>
        <w:rPr>
          <w:sz w:val="28"/>
        </w:rPr>
        <w:t>е</w:t>
      </w:r>
      <w:r>
        <w:rPr>
          <w:sz w:val="28"/>
        </w:rPr>
        <w:t xml:space="preserve"> принятия новых расходных обязательств, не обеспеченных стабильными источниками доходов, с целью снижения дефицита бюджета </w:t>
      </w:r>
      <w:r>
        <w:rPr>
          <w:sz w:val="28"/>
        </w:rPr>
        <w:t>округа</w:t>
      </w:r>
      <w:r>
        <w:rPr>
          <w:sz w:val="28"/>
        </w:rPr>
        <w:t xml:space="preserve">; </w:t>
      </w:r>
    </w:p>
    <w:p w14:paraId="34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- сохранения моратория на предоставление налоговых расходов и муниципальных гарантий Крапивинского муниципального округа;</w:t>
      </w:r>
    </w:p>
    <w:p w14:paraId="35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осуществления мониторинга соответствия параметров муниципального долга, дефицита бюджета </w:t>
      </w:r>
      <w:r>
        <w:rPr>
          <w:sz w:val="28"/>
        </w:rPr>
        <w:t>округа</w:t>
      </w:r>
      <w:r>
        <w:rPr>
          <w:sz w:val="28"/>
        </w:rPr>
        <w:t xml:space="preserve"> и показателей долговой устойчивости, ограничениям, установленным Бюджетным кодексом Российской Федерации; </w:t>
      </w:r>
    </w:p>
    <w:p w14:paraId="36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В случае принятия решения о необходимости муниципальных заимствований, привлечение заемных средств будет осуществляться в форме бюджетных кредитов или кредитов кредитных организаций в валюте Российской Федерации.</w:t>
      </w:r>
    </w:p>
    <w:p w14:paraId="37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Объемы и параметры </w:t>
      </w:r>
      <w:r>
        <w:rPr>
          <w:sz w:val="28"/>
        </w:rPr>
        <w:t>муниципальных</w:t>
      </w:r>
      <w:r>
        <w:rPr>
          <w:sz w:val="28"/>
        </w:rPr>
        <w:t xml:space="preserve"> заимствований будут</w:t>
      </w:r>
      <w:r>
        <w:rPr>
          <w:sz w:val="28"/>
        </w:rPr>
        <w:t xml:space="preserve"> определяться таким образом, чтобы обеспечивал</w:t>
      </w:r>
      <w:r>
        <w:rPr>
          <w:sz w:val="28"/>
        </w:rPr>
        <w:t>о</w:t>
      </w:r>
      <w:r>
        <w:rPr>
          <w:sz w:val="28"/>
        </w:rPr>
        <w:t xml:space="preserve">сь </w:t>
      </w:r>
      <w:r>
        <w:rPr>
          <w:sz w:val="28"/>
        </w:rPr>
        <w:t>своевременное финансирование первоочередных расходов</w:t>
      </w:r>
      <w:r>
        <w:rPr>
          <w:sz w:val="28"/>
        </w:rPr>
        <w:t xml:space="preserve">, а структура платежей по погашению и обслуживанию </w:t>
      </w:r>
      <w:r>
        <w:rPr>
          <w:sz w:val="28"/>
        </w:rPr>
        <w:t>муниципального</w:t>
      </w:r>
      <w:r>
        <w:rPr>
          <w:sz w:val="28"/>
        </w:rPr>
        <w:t xml:space="preserve"> долга была равномерной, не имела пиков платежей в отдельном финансовом году.</w:t>
      </w:r>
    </w:p>
    <w:p w14:paraId="38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Основными инструментами реализации долговой политики в случае осуществления муниципальных заимствований являются:</w:t>
      </w:r>
    </w:p>
    <w:p w14:paraId="39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- осуществление мониторинга конъюнктуры долгового рынка;</w:t>
      </w:r>
    </w:p>
    <w:p w14:paraId="3A000000">
      <w:pPr>
        <w:widowControl w:val="1"/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осуществление</w:t>
      </w:r>
      <w:r>
        <w:rPr>
          <w:sz w:val="28"/>
        </w:rPr>
        <w:t xml:space="preserve"> </w:t>
      </w:r>
      <w:r>
        <w:rPr>
          <w:sz w:val="28"/>
        </w:rPr>
        <w:t>мониторинга соответствия</w:t>
      </w:r>
      <w:r>
        <w:rPr>
          <w:sz w:val="28"/>
        </w:rPr>
        <w:t xml:space="preserve"> </w:t>
      </w:r>
      <w:r>
        <w:rPr>
          <w:sz w:val="28"/>
        </w:rPr>
        <w:t>параметров муниципального долга ограничениям, установленным Бюджетным кодексом Российской Федерации;</w:t>
      </w:r>
    </w:p>
    <w:p w14:paraId="3B000000">
      <w:pPr>
        <w:widowControl w:val="1"/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-  принятие обоснованных решений по привлечению заемных средств на основе анализа текущего и ожидаемого исполнения бюджета Крапивинского муниципального округа, ситуации на финансовом рынке; </w:t>
      </w:r>
    </w:p>
    <w:p w14:paraId="3C000000">
      <w:pPr>
        <w:widowControl w:val="1"/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>- привлечение заимствований на среднесрочный</w:t>
      </w:r>
      <w:r>
        <w:rPr>
          <w:sz w:val="28"/>
        </w:rPr>
        <w:t xml:space="preserve"> </w:t>
      </w:r>
      <w:r>
        <w:rPr>
          <w:sz w:val="28"/>
        </w:rPr>
        <w:t>период на благоприятных</w:t>
      </w:r>
      <w:r>
        <w:rPr>
          <w:sz w:val="28"/>
        </w:rPr>
        <w:t xml:space="preserve"> условиях</w:t>
      </w:r>
      <w:r>
        <w:rPr>
          <w:sz w:val="28"/>
        </w:rPr>
        <w:t xml:space="preserve"> для </w:t>
      </w:r>
      <w:r>
        <w:rPr>
          <w:sz w:val="28"/>
        </w:rPr>
        <w:t>Крапивинского</w:t>
      </w:r>
      <w:r>
        <w:rPr>
          <w:sz w:val="28"/>
        </w:rPr>
        <w:t xml:space="preserve"> муниципального округа по срокам погашения и равномерного распределения долговой нагрузки на </w:t>
      </w:r>
      <w:r>
        <w:rPr>
          <w:sz w:val="28"/>
        </w:rPr>
        <w:t xml:space="preserve">местный </w:t>
      </w:r>
      <w:r>
        <w:rPr>
          <w:sz w:val="28"/>
        </w:rPr>
        <w:t>бюджет;</w:t>
      </w:r>
    </w:p>
    <w:p w14:paraId="3D000000">
      <w:pPr>
        <w:widowControl w:val="1"/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>- привлечение кредитов от кредитных организаций с учетом ограничений, устанавливаемых Правительством Российской Федерации;</w:t>
      </w:r>
    </w:p>
    <w:p w14:paraId="3E000000">
      <w:pPr>
        <w:widowControl w:val="1"/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- проведение электронных аукционов на оказание услуг по открытию кредитных линий с целью удешевления стоимости обслуживания коммерческих кредитов; </w:t>
      </w:r>
    </w:p>
    <w:p w14:paraId="3F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проведение ежегодного анализа объема и состава задолженности, в том числе с точки зрения сроков погашения, стоимости обслуживания заимствований, влияния на общую платежеспособность бюджета округа. </w:t>
      </w:r>
    </w:p>
    <w:p w14:paraId="40000000">
      <w:pPr>
        <w:widowControl w:val="0"/>
        <w:numPr>
          <w:ilvl w:val="0"/>
          <w:numId w:val="1"/>
        </w:numPr>
        <w:spacing w:afterAutospacing="on" w:before="120"/>
        <w:ind w:firstLine="0" w:left="0"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Анализ рисков для бюджета </w:t>
      </w:r>
      <w:r>
        <w:rPr>
          <w:b w:val="1"/>
          <w:sz w:val="28"/>
        </w:rPr>
        <w:t>Крапивинского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муниципального округа, возникающих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в процессе управления муниципальным долгом</w:t>
      </w:r>
    </w:p>
    <w:p w14:paraId="41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Своевременное выявление, контроль и оценка долговых рисков снижают вероятность их наступления и обеспечивают долговую устойчивость бюджета </w:t>
      </w:r>
      <w:r>
        <w:rPr>
          <w:sz w:val="28"/>
        </w:rPr>
        <w:t>округа</w:t>
      </w:r>
      <w:r>
        <w:rPr>
          <w:sz w:val="28"/>
        </w:rPr>
        <w:t xml:space="preserve">. </w:t>
      </w:r>
    </w:p>
    <w:p w14:paraId="42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При управлении долговыми рисками осуществляются: </w:t>
      </w:r>
    </w:p>
    <w:p w14:paraId="43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оценка и анализ долговых рисков; </w:t>
      </w:r>
    </w:p>
    <w:p w14:paraId="44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формирование долговой стратегии в течение финансового года с учетом оценки и анализа долговых рисков; </w:t>
      </w:r>
    </w:p>
    <w:p w14:paraId="45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анализ достижения поставленных целей и реализации задач долговой политики.</w:t>
      </w:r>
    </w:p>
    <w:p w14:paraId="46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Важное место в достижении целей долговой политики занимает оценка потенциальных рисков, возникающих в процессе ее реализации.</w:t>
      </w:r>
    </w:p>
    <w:p w14:paraId="47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Ос</w:t>
      </w:r>
      <w:r>
        <w:rPr>
          <w:sz w:val="28"/>
        </w:rPr>
        <w:t xml:space="preserve">новными рисками при управлении </w:t>
      </w:r>
      <w:r>
        <w:rPr>
          <w:sz w:val="28"/>
        </w:rPr>
        <w:t>муниципальным</w:t>
      </w:r>
      <w:r>
        <w:rPr>
          <w:sz w:val="28"/>
        </w:rPr>
        <w:t xml:space="preserve"> долгом являются:</w:t>
      </w:r>
    </w:p>
    <w:p w14:paraId="48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1) </w:t>
      </w:r>
      <w:r>
        <w:rPr>
          <w:sz w:val="28"/>
        </w:rPr>
        <w:t xml:space="preserve">риск ликвидности </w:t>
      </w:r>
      <w:r>
        <w:rPr>
          <w:sz w:val="28"/>
        </w:rPr>
        <w:t>–</w:t>
      </w:r>
      <w:r>
        <w:rPr>
          <w:sz w:val="28"/>
        </w:rPr>
        <w:t xml:space="preserve"> риск неис</w:t>
      </w:r>
      <w:r>
        <w:rPr>
          <w:sz w:val="28"/>
        </w:rPr>
        <w:t>полнения долговых обязательств.</w:t>
      </w:r>
      <w:r>
        <w:rPr>
          <w:sz w:val="28"/>
        </w:rPr>
        <w:t xml:space="preserve"> </w:t>
      </w:r>
      <w:r>
        <w:rPr>
          <w:sz w:val="28"/>
        </w:rPr>
        <w:t xml:space="preserve">Основным источником риска ликвидности является нарушение баланса финансовых активов и финансовых обязательств бюджета </w:t>
      </w:r>
      <w:r>
        <w:rPr>
          <w:sz w:val="28"/>
        </w:rPr>
        <w:t>Крапивинского муниципального округа</w:t>
      </w:r>
      <w:r>
        <w:rPr>
          <w:sz w:val="28"/>
        </w:rPr>
        <w:t xml:space="preserve"> и (или) возникновение непредвиденной необходимости немедленного и единовременного</w:t>
      </w:r>
      <w:r>
        <w:rPr>
          <w:sz w:val="28"/>
        </w:rPr>
        <w:t xml:space="preserve"> </w:t>
      </w:r>
      <w:r>
        <w:rPr>
          <w:sz w:val="28"/>
        </w:rPr>
        <w:t>исполнения финансовых обязательств</w:t>
      </w:r>
      <w:r>
        <w:rPr>
          <w:sz w:val="28"/>
        </w:rPr>
        <w:t>;</w:t>
      </w:r>
    </w:p>
    <w:p w14:paraId="49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2) риск пролонгации (риск рефинансирования) - риск потерь вследствие чрезвычайно невыгодных условий привлечения заимствований на вынужденное рефинансирование уже имеющихся обязательств, пролонгация заимствований на невыгодных условиях, а также невозможность пролонгации или рефинансирования. </w:t>
      </w:r>
    </w:p>
    <w:p w14:paraId="4A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Значительная доля краткосрочных обязательств в структуре задолженности или неравномерный график погашения значительно повышают указанный риск. В целях оценки риска рефинансирования необходимо на постоянной основе осуществлять мониторинг рынка финансовых услуг, сопоставляя складывающиеся на нем тенденции с графиком погашения долговых обязательств;</w:t>
      </w:r>
    </w:p>
    <w:p w14:paraId="4B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3) </w:t>
      </w:r>
      <w:r>
        <w:rPr>
          <w:sz w:val="28"/>
        </w:rPr>
        <w:t xml:space="preserve">рыночный риск (риск процентной ставки) </w:t>
      </w:r>
      <w:r>
        <w:rPr>
          <w:sz w:val="28"/>
        </w:rPr>
        <w:t>–</w:t>
      </w:r>
      <w:r>
        <w:rPr>
          <w:sz w:val="28"/>
        </w:rPr>
        <w:t xml:space="preserve"> риск увеличения объема расходов на обслуживание </w:t>
      </w:r>
      <w:r>
        <w:rPr>
          <w:sz w:val="28"/>
        </w:rPr>
        <w:t>муниципального</w:t>
      </w:r>
      <w:r>
        <w:rPr>
          <w:sz w:val="28"/>
        </w:rPr>
        <w:t xml:space="preserve"> долга, связанный с ростом увеличения Банком России размера ключевой ставки и (или) ростом объемов привлечения кредитов для вы</w:t>
      </w:r>
      <w:r>
        <w:rPr>
          <w:sz w:val="28"/>
        </w:rPr>
        <w:t>полнения расходных обязательств.</w:t>
      </w:r>
    </w:p>
    <w:p w14:paraId="4C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Дополнительный риск возникает в том случае, если значительная часть задолженности обслуживается по переменной (плавающей) процентной ставке. Как следствие, краткосрочные долговые обязательства или обязательства с переменной (плавающей) ставкой должны рассматриваться как более рискованные, чем долгосрочные обязательства с фиксированной ставкой;</w:t>
      </w:r>
    </w:p>
    <w:p w14:paraId="4D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4) </w:t>
      </w:r>
      <w:r>
        <w:rPr>
          <w:sz w:val="28"/>
        </w:rPr>
        <w:t>операционный риск – риск потерь (убытков) в результате технических ошибок, несоблюдения</w:t>
      </w:r>
      <w:r>
        <w:rPr>
          <w:sz w:val="28"/>
        </w:rPr>
        <w:t xml:space="preserve"> бюджетного законодательства, </w:t>
      </w:r>
      <w:r>
        <w:rPr>
          <w:sz w:val="28"/>
        </w:rPr>
        <w:t>сбоев учетно-расчетных, информационных и иных систем</w:t>
      </w:r>
      <w:r>
        <w:rPr>
          <w:sz w:val="28"/>
        </w:rPr>
        <w:t>.</w:t>
      </w:r>
    </w:p>
    <w:p w14:paraId="4E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В целях противодействия возникновению операционного риска необходимо использование нормативных правовых актов в сферах управления муниципальным долгом и контроля за осуществляемыми операциями, а также эффективных механизмов отчетности;</w:t>
      </w:r>
    </w:p>
    <w:p w14:paraId="4F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5) </w:t>
      </w:r>
      <w:r>
        <w:rPr>
          <w:sz w:val="28"/>
        </w:rPr>
        <w:t xml:space="preserve">риск недостижения планируемых объемов поступлений доходов местного бюджета </w:t>
      </w:r>
      <w:r>
        <w:rPr>
          <w:sz w:val="28"/>
        </w:rPr>
        <w:t>–</w:t>
      </w:r>
      <w:r>
        <w:rPr>
          <w:sz w:val="28"/>
        </w:rPr>
        <w:t xml:space="preserve"> недопоступление доходов потребует поиска альтернативных источников для выполнения принятых расходных обязательств бюджета и обеспечения его сбалансированности</w:t>
      </w:r>
      <w:r>
        <w:rPr>
          <w:sz w:val="28"/>
        </w:rPr>
        <w:t>.</w:t>
      </w:r>
    </w:p>
    <w:p w14:paraId="50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Основными мерами, принимаемыми в отношении управления рисками, связанными с реализацией Долговой политики, являются:</w:t>
      </w:r>
    </w:p>
    <w:p w14:paraId="51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достоверное прогнозирование доходов </w:t>
      </w:r>
      <w:r>
        <w:rPr>
          <w:sz w:val="28"/>
        </w:rPr>
        <w:t>местного</w:t>
      </w:r>
      <w:r>
        <w:rPr>
          <w:sz w:val="28"/>
        </w:rPr>
        <w:t xml:space="preserve"> бюджета и поступлений по источникам финансирования дефицита </w:t>
      </w:r>
      <w:r>
        <w:rPr>
          <w:sz w:val="28"/>
        </w:rPr>
        <w:t>местного</w:t>
      </w:r>
      <w:r>
        <w:rPr>
          <w:sz w:val="28"/>
        </w:rPr>
        <w:t xml:space="preserve"> бюджета;</w:t>
      </w:r>
    </w:p>
    <w:p w14:paraId="52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планирование </w:t>
      </w:r>
      <w:r>
        <w:rPr>
          <w:sz w:val="28"/>
        </w:rPr>
        <w:t>муниципальных</w:t>
      </w:r>
      <w:r>
        <w:rPr>
          <w:sz w:val="28"/>
        </w:rPr>
        <w:t xml:space="preserve"> заимствований с учетом экономических возможностей по привлечению ресурсов, текущей и ожидаемой конъюнктуры на рынке заимствований;</w:t>
      </w:r>
    </w:p>
    <w:p w14:paraId="53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принятие взвешенных и экономически обоснованных решений по принятию долговых обязательств;</w:t>
      </w:r>
    </w:p>
    <w:p w14:paraId="54000000">
      <w:pPr>
        <w:widowControl w:val="1"/>
        <w:ind w:firstLine="709"/>
        <w:jc w:val="both"/>
        <w:rPr>
          <w:sz w:val="28"/>
        </w:rPr>
      </w:pPr>
      <w:bookmarkStart w:id="1" w:name="Par47"/>
      <w:bookmarkEnd w:id="1"/>
      <w:bookmarkStart w:id="2" w:name="Par60"/>
      <w:bookmarkEnd w:id="2"/>
      <w:r>
        <w:rPr>
          <w:sz w:val="28"/>
        </w:rPr>
        <w:t xml:space="preserve">учет финансовых, макроэкономических и бюджетных прогнозов при планировании графиков предстоящих платежей по погашению и обслуживанию </w:t>
      </w:r>
      <w:r>
        <w:rPr>
          <w:sz w:val="28"/>
        </w:rPr>
        <w:t xml:space="preserve">муниципального </w:t>
      </w:r>
      <w:r>
        <w:rPr>
          <w:sz w:val="28"/>
        </w:rPr>
        <w:t>долга;</w:t>
      </w:r>
    </w:p>
    <w:p w14:paraId="55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м</w:t>
      </w:r>
      <w:r>
        <w:rPr>
          <w:sz w:val="28"/>
        </w:rPr>
        <w:t>инимизация использования краткосрочных инструментов заимствований;</w:t>
      </w:r>
    </w:p>
    <w:p w14:paraId="56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п</w:t>
      </w:r>
      <w:r>
        <w:rPr>
          <w:sz w:val="28"/>
        </w:rPr>
        <w:t>остоянный мониторинг рыночной конъюнктуры и следование прогнозам изменения процентных ставок при</w:t>
      </w:r>
      <w:r>
        <w:rPr>
          <w:sz w:val="28"/>
        </w:rPr>
        <w:t xml:space="preserve"> планировании</w:t>
      </w:r>
      <w:r>
        <w:rPr>
          <w:sz w:val="28"/>
        </w:rPr>
        <w:t xml:space="preserve"> расходов бюджета.</w:t>
      </w:r>
    </w:p>
    <w:p w14:paraId="57000000">
      <w:pPr>
        <w:widowControl w:val="0"/>
        <w:numPr>
          <w:ilvl w:val="0"/>
          <w:numId w:val="1"/>
        </w:numPr>
        <w:spacing w:after="120" w:before="120"/>
        <w:ind w:firstLine="0" w:left="0"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Сведения о показателях (индикаторах) реализации мероприятий Долговой политики</w:t>
      </w:r>
    </w:p>
    <w:p w14:paraId="58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Основные мероприятия </w:t>
      </w:r>
      <w:r>
        <w:rPr>
          <w:sz w:val="28"/>
        </w:rPr>
        <w:t>Д</w:t>
      </w:r>
      <w:r>
        <w:rPr>
          <w:sz w:val="28"/>
        </w:rPr>
        <w:t>олговой политики направлены на реализацию поставленных целей и задач в целом и позволят обеспечить достиж</w:t>
      </w:r>
      <w:r>
        <w:rPr>
          <w:sz w:val="28"/>
        </w:rPr>
        <w:t>ение показателей (индикаторов), приведенных в таблице.</w:t>
      </w:r>
    </w:p>
    <w:tbl>
      <w:tblPr>
        <w:tblStyle w:val="Style_2"/>
        <w:tblpPr w:bottomFromText="0" w:horzAnchor="margin" w:leftFromText="180" w:rightFromText="180" w:tblpX="75" w:tblpY="166" w:topFromText="0" w:vertAnchor="text"/>
        <w:tblW w:type="auto" w:w="0"/>
        <w:tblLayout w:type="fixed"/>
        <w:tblCellMar>
          <w:left w:type="dxa" w:w="75"/>
          <w:right w:type="dxa" w:w="75"/>
        </w:tblCellMar>
      </w:tblPr>
      <w:tblGrid>
        <w:gridCol w:w="642"/>
        <w:gridCol w:w="5539"/>
        <w:gridCol w:w="962"/>
        <w:gridCol w:w="963"/>
        <w:gridCol w:w="962"/>
      </w:tblGrid>
      <w:tr>
        <w:trPr>
          <w:trHeight w:hRule="atLeast" w:val="645"/>
        </w:trPr>
        <w:tc>
          <w:tcPr>
            <w:tcW w:type="dxa" w:w="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9000000">
            <w:pPr>
              <w:widowControl w:val="0"/>
              <w:ind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5A000000">
            <w:pPr>
              <w:widowControl w:val="0"/>
              <w:ind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type="dxa" w:w="5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B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показателя (индикатора)</w:t>
            </w:r>
          </w:p>
        </w:tc>
        <w:tc>
          <w:tcPr>
            <w:tcW w:type="dxa" w:w="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C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  <w:r>
              <w:rPr>
                <w:sz w:val="28"/>
              </w:rPr>
              <w:t>2</w:t>
            </w:r>
            <w:r>
              <w:rPr>
                <w:sz w:val="28"/>
              </w:rPr>
              <w:t>7</w:t>
            </w:r>
            <w:r>
              <w:rPr>
                <w:sz w:val="28"/>
              </w:rPr>
              <w:t xml:space="preserve"> год</w:t>
            </w:r>
          </w:p>
        </w:tc>
        <w:tc>
          <w:tcPr>
            <w:tcW w:type="dxa" w:w="9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D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>
              <w:rPr>
                <w:sz w:val="28"/>
              </w:rPr>
              <w:t>8</w:t>
            </w:r>
            <w:r>
              <w:rPr>
                <w:sz w:val="28"/>
              </w:rPr>
              <w:t xml:space="preserve"> год</w:t>
            </w:r>
          </w:p>
        </w:tc>
        <w:tc>
          <w:tcPr>
            <w:tcW w:type="dxa" w:w="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E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  <w:r>
              <w:rPr>
                <w:sz w:val="28"/>
              </w:rPr>
              <w:t>2</w:t>
            </w:r>
            <w:r>
              <w:rPr>
                <w:sz w:val="28"/>
              </w:rPr>
              <w:t>9</w:t>
            </w:r>
            <w:r>
              <w:rPr>
                <w:sz w:val="28"/>
              </w:rPr>
              <w:t xml:space="preserve"> год</w:t>
            </w:r>
          </w:p>
        </w:tc>
      </w:tr>
      <w:tr>
        <w:trPr>
          <w:trHeight w:hRule="atLeast" w:val="1289"/>
        </w:trPr>
        <w:tc>
          <w:tcPr>
            <w:tcW w:type="dxa" w:w="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5F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5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0000000">
            <w:pPr>
              <w:widowControl w:val="0"/>
              <w:ind/>
              <w:rPr>
                <w:sz w:val="28"/>
              </w:rPr>
            </w:pPr>
            <w:r>
              <w:rPr>
                <w:sz w:val="28"/>
              </w:rPr>
              <w:t>Соотношение муниципального долга  Крапивинского муниципального округа к общему годовому объему доходов</w:t>
            </w:r>
            <w:r>
              <w:rPr>
                <w:sz w:val="28"/>
              </w:rPr>
              <w:t xml:space="preserve"> местного</w:t>
            </w:r>
            <w:r>
              <w:rPr>
                <w:sz w:val="28"/>
              </w:rPr>
              <w:t xml:space="preserve"> бюджета без учета утвержденного объема безвозмездных поступлений и (или) поступлений налоговых доходов по дополнительным нормативам</w:t>
            </w:r>
            <w:r>
              <w:rPr>
                <w:sz w:val="28"/>
              </w:rPr>
              <w:t xml:space="preserve"> отчислений от налога на доходы физических лиц</w:t>
            </w:r>
            <w:r>
              <w:rPr>
                <w:sz w:val="28"/>
              </w:rPr>
              <w:t>, процентов</w:t>
            </w:r>
          </w:p>
        </w:tc>
        <w:tc>
          <w:tcPr>
            <w:tcW w:type="dxa" w:w="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  <w:vAlign w:val="center"/>
          </w:tcPr>
          <w:p w14:paraId="61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≤5</w:t>
            </w:r>
            <w:r>
              <w:rPr>
                <w:sz w:val="28"/>
              </w:rPr>
              <w:t>0</w:t>
            </w:r>
          </w:p>
        </w:tc>
        <w:tc>
          <w:tcPr>
            <w:tcW w:type="dxa" w:w="9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  <w:vAlign w:val="center"/>
          </w:tcPr>
          <w:p w14:paraId="62000000">
            <w:pPr>
              <w:widowControl w:val="1"/>
              <w:ind/>
              <w:jc w:val="center"/>
            </w:pPr>
            <w:r>
              <w:rPr>
                <w:sz w:val="28"/>
              </w:rPr>
              <w:t>≤5</w:t>
            </w:r>
            <w:r>
              <w:rPr>
                <w:sz w:val="28"/>
              </w:rPr>
              <w:t>0</w:t>
            </w:r>
          </w:p>
        </w:tc>
        <w:tc>
          <w:tcPr>
            <w:tcW w:type="dxa" w:w="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  <w:vAlign w:val="center"/>
          </w:tcPr>
          <w:p w14:paraId="63000000">
            <w:pPr>
              <w:widowControl w:val="1"/>
              <w:ind/>
              <w:jc w:val="center"/>
            </w:pPr>
            <w:r>
              <w:rPr>
                <w:sz w:val="28"/>
              </w:rPr>
              <w:t>≤</w:t>
            </w:r>
            <w:r>
              <w:rPr>
                <w:sz w:val="28"/>
              </w:rPr>
              <w:t>50</w:t>
            </w:r>
          </w:p>
        </w:tc>
      </w:tr>
      <w:tr>
        <w:trPr>
          <w:trHeight w:hRule="atLeast" w:val="1969"/>
        </w:trPr>
        <w:tc>
          <w:tcPr>
            <w:tcW w:type="dxa" w:w="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4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type="dxa" w:w="5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5000000">
            <w:pPr>
              <w:widowControl w:val="0"/>
              <w:ind/>
              <w:rPr>
                <w:sz w:val="28"/>
              </w:rPr>
            </w:pPr>
            <w:r>
              <w:rPr>
                <w:sz w:val="28"/>
              </w:rPr>
              <w:t xml:space="preserve">Отношение дефицита бюджета </w:t>
            </w:r>
            <w:r>
              <w:rPr>
                <w:sz w:val="28"/>
              </w:rPr>
              <w:t xml:space="preserve"> Крапивинского муниципального округа </w:t>
            </w:r>
            <w:r>
              <w:rPr>
                <w:sz w:val="28"/>
              </w:rPr>
              <w:t xml:space="preserve"> к доходам без учета безвозмездных  поступлений и поступлений налоговых доходов по дополнительным нормативам отчислений</w:t>
            </w:r>
            <w:r>
              <w:rPr>
                <w:sz w:val="28"/>
              </w:rPr>
              <w:t>, процентов</w:t>
            </w:r>
          </w:p>
        </w:tc>
        <w:tc>
          <w:tcPr>
            <w:tcW w:type="dxa" w:w="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  <w:vAlign w:val="center"/>
          </w:tcPr>
          <w:p w14:paraId="66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≤5</w:t>
            </w:r>
          </w:p>
        </w:tc>
        <w:tc>
          <w:tcPr>
            <w:tcW w:type="dxa" w:w="9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  <w:vAlign w:val="center"/>
          </w:tcPr>
          <w:p w14:paraId="67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≤5</w:t>
            </w:r>
          </w:p>
        </w:tc>
        <w:tc>
          <w:tcPr>
            <w:tcW w:type="dxa" w:w="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  <w:vAlign w:val="center"/>
          </w:tcPr>
          <w:p w14:paraId="68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≤5</w:t>
            </w:r>
          </w:p>
        </w:tc>
      </w:tr>
      <w:tr>
        <w:trPr>
          <w:trHeight w:hRule="atLeast" w:val="2256"/>
        </w:trPr>
        <w:tc>
          <w:tcPr>
            <w:tcW w:type="dxa" w:w="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9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type="dxa" w:w="5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A000000">
            <w:pPr>
              <w:widowControl w:val="0"/>
              <w:ind/>
              <w:rPr>
                <w:sz w:val="28"/>
              </w:rPr>
            </w:pPr>
            <w:r>
              <w:rPr>
                <w:sz w:val="28"/>
              </w:rPr>
              <w:t xml:space="preserve">Отношение расходов на обслуживание </w:t>
            </w:r>
            <w:r>
              <w:rPr>
                <w:sz w:val="28"/>
              </w:rPr>
              <w:t>муниципального</w:t>
            </w:r>
            <w:r>
              <w:rPr>
                <w:sz w:val="28"/>
              </w:rPr>
              <w:t xml:space="preserve"> долга </w:t>
            </w:r>
            <w:r>
              <w:rPr>
                <w:sz w:val="28"/>
              </w:rPr>
              <w:t xml:space="preserve"> Крапивинского</w:t>
            </w:r>
            <w:r>
              <w:rPr>
                <w:sz w:val="28"/>
              </w:rPr>
              <w:t xml:space="preserve"> муниципального округа</w:t>
            </w:r>
            <w:r>
              <w:rPr>
                <w:sz w:val="28"/>
              </w:rPr>
              <w:t xml:space="preserve"> по данным отчета об исполнении </w:t>
            </w:r>
            <w:r>
              <w:rPr>
                <w:sz w:val="28"/>
              </w:rPr>
              <w:t xml:space="preserve"> местного</w:t>
            </w:r>
            <w:r>
              <w:rPr>
                <w:sz w:val="28"/>
              </w:rPr>
              <w:t xml:space="preserve"> бюджета за отчетный финансовый год к объему расходов </w:t>
            </w:r>
            <w:r>
              <w:rPr>
                <w:sz w:val="28"/>
              </w:rPr>
              <w:t xml:space="preserve">местного </w:t>
            </w:r>
            <w:r>
              <w:rPr>
                <w:sz w:val="28"/>
              </w:rPr>
              <w:t>бюджета,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  <w:r>
              <w:rPr>
                <w:sz w:val="28"/>
              </w:rPr>
              <w:t>, процентов</w:t>
            </w:r>
          </w:p>
        </w:tc>
        <w:tc>
          <w:tcPr>
            <w:tcW w:type="dxa" w:w="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  <w:vAlign w:val="center"/>
          </w:tcPr>
          <w:p w14:paraId="6B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≤</w:t>
            </w:r>
            <w:r>
              <w:rPr>
                <w:sz w:val="28"/>
              </w:rPr>
              <w:t>0,</w:t>
            </w:r>
            <w:r>
              <w:rPr>
                <w:sz w:val="28"/>
              </w:rPr>
              <w:t>5</w:t>
            </w:r>
          </w:p>
        </w:tc>
        <w:tc>
          <w:tcPr>
            <w:tcW w:type="dxa" w:w="9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  <w:vAlign w:val="center"/>
          </w:tcPr>
          <w:p w14:paraId="6C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≤</w:t>
            </w:r>
            <w:r>
              <w:rPr>
                <w:sz w:val="28"/>
              </w:rPr>
              <w:t>0,</w:t>
            </w:r>
            <w:r>
              <w:rPr>
                <w:sz w:val="28"/>
              </w:rPr>
              <w:t>5</w:t>
            </w:r>
          </w:p>
        </w:tc>
        <w:tc>
          <w:tcPr>
            <w:tcW w:type="dxa" w:w="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  <w:vAlign w:val="center"/>
          </w:tcPr>
          <w:p w14:paraId="6D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≤</w:t>
            </w:r>
            <w:r>
              <w:rPr>
                <w:sz w:val="28"/>
              </w:rPr>
              <w:t>0,</w:t>
            </w:r>
            <w:r>
              <w:rPr>
                <w:sz w:val="28"/>
              </w:rPr>
              <w:t>5</w:t>
            </w:r>
          </w:p>
        </w:tc>
      </w:tr>
      <w:tr>
        <w:trPr>
          <w:trHeight w:hRule="atLeast" w:val="1301"/>
        </w:trPr>
        <w:tc>
          <w:tcPr>
            <w:tcW w:type="dxa" w:w="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E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type="dxa" w:w="5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F000000">
            <w:pPr>
              <w:widowControl w:val="0"/>
              <w:ind/>
              <w:rPr>
                <w:sz w:val="28"/>
              </w:rPr>
            </w:pPr>
            <w:r>
              <w:rPr>
                <w:sz w:val="28"/>
              </w:rPr>
              <w:t xml:space="preserve">Доля просроченной задолженности по долговым обязательствам в общем объеме задолженности по долговым обязательствам </w:t>
            </w:r>
            <w:r>
              <w:rPr>
                <w:sz w:val="28"/>
              </w:rPr>
              <w:t xml:space="preserve"> Крапивинского</w:t>
            </w:r>
            <w:r>
              <w:rPr>
                <w:sz w:val="28"/>
              </w:rPr>
              <w:t xml:space="preserve"> муниципального округа</w:t>
            </w:r>
            <w:r>
              <w:rPr>
                <w:sz w:val="28"/>
              </w:rPr>
              <w:t>, процентов</w:t>
            </w:r>
          </w:p>
        </w:tc>
        <w:tc>
          <w:tcPr>
            <w:tcW w:type="dxa" w:w="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  <w:vAlign w:val="center"/>
          </w:tcPr>
          <w:p w14:paraId="70000000">
            <w:pPr>
              <w:widowControl w:val="0"/>
              <w:ind w:firstLine="851"/>
              <w:jc w:val="center"/>
              <w:rPr>
                <w:sz w:val="28"/>
              </w:rPr>
            </w:pPr>
            <w:r>
              <w:rPr>
                <w:sz w:val="28"/>
              </w:rPr>
              <w:t>00,0</w:t>
            </w:r>
          </w:p>
        </w:tc>
        <w:tc>
          <w:tcPr>
            <w:tcW w:type="dxa" w:w="9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  <w:vAlign w:val="center"/>
          </w:tcPr>
          <w:p w14:paraId="71000000">
            <w:pPr>
              <w:widowControl w:val="0"/>
              <w:ind w:firstLine="851"/>
              <w:jc w:val="center"/>
              <w:rPr>
                <w:sz w:val="28"/>
              </w:rPr>
            </w:pPr>
            <w:r>
              <w:rPr>
                <w:sz w:val="28"/>
              </w:rPr>
              <w:t>00,0</w:t>
            </w:r>
          </w:p>
        </w:tc>
        <w:tc>
          <w:tcPr>
            <w:tcW w:type="dxa" w:w="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  <w:vAlign w:val="center"/>
          </w:tcPr>
          <w:p w14:paraId="72000000">
            <w:pPr>
              <w:widowControl w:val="0"/>
              <w:ind w:firstLine="851"/>
              <w:jc w:val="center"/>
              <w:rPr>
                <w:sz w:val="28"/>
              </w:rPr>
            </w:pPr>
            <w:r>
              <w:rPr>
                <w:sz w:val="28"/>
              </w:rPr>
              <w:t>00,0</w:t>
            </w:r>
          </w:p>
        </w:tc>
      </w:tr>
      <w:tr>
        <w:trPr>
          <w:trHeight w:hRule="atLeast" w:val="1239"/>
        </w:trPr>
        <w:tc>
          <w:tcPr>
            <w:tcW w:type="dxa" w:w="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3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type="dxa" w:w="5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4000000">
            <w:pPr>
              <w:widowControl w:val="0"/>
              <w:ind/>
              <w:rPr>
                <w:sz w:val="28"/>
              </w:rPr>
            </w:pPr>
            <w:r>
              <w:rPr>
                <w:sz w:val="28"/>
              </w:rPr>
              <w:t>Превышение ставки по привлеченным кредитам коммерческих банков над ключевой ставкой Центрального банка Российской Федерации</w:t>
            </w:r>
            <w:r>
              <w:rPr>
                <w:sz w:val="28"/>
              </w:rPr>
              <w:t>, процентов</w:t>
            </w:r>
          </w:p>
        </w:tc>
        <w:tc>
          <w:tcPr>
            <w:tcW w:type="dxa" w:w="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  <w:vAlign w:val="center"/>
          </w:tcPr>
          <w:p w14:paraId="75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≤</w:t>
            </w:r>
            <w:r>
              <w:rPr>
                <w:sz w:val="28"/>
              </w:rPr>
              <w:t>1,0</w:t>
            </w:r>
          </w:p>
        </w:tc>
        <w:tc>
          <w:tcPr>
            <w:tcW w:type="dxa" w:w="9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  <w:vAlign w:val="center"/>
          </w:tcPr>
          <w:p w14:paraId="76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≤</w:t>
            </w:r>
            <w:r>
              <w:rPr>
                <w:sz w:val="28"/>
              </w:rPr>
              <w:t>1,0</w:t>
            </w:r>
          </w:p>
        </w:tc>
        <w:tc>
          <w:tcPr>
            <w:tcW w:type="dxa" w:w="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  <w:vAlign w:val="center"/>
          </w:tcPr>
          <w:p w14:paraId="77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≤</w:t>
            </w:r>
            <w:r>
              <w:rPr>
                <w:sz w:val="28"/>
              </w:rPr>
              <w:t>1,0</w:t>
            </w:r>
          </w:p>
        </w:tc>
      </w:tr>
    </w:tbl>
    <w:p w14:paraId="78000000">
      <w:pPr>
        <w:widowControl w:val="1"/>
        <w:ind/>
        <w:jc w:val="both"/>
        <w:rPr>
          <w:sz w:val="28"/>
        </w:rPr>
      </w:pPr>
    </w:p>
    <w:sectPr>
      <w:footerReference r:id="rId1" w:type="default"/>
      <w:pgSz w:h="16838" w:orient="portrait" w:w="11906"/>
      <w:pgMar w:bottom="851" w:footer="709" w:gutter="0" w:header="709" w:left="1701" w:right="851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20"/>
      </w:pPr>
      <w:rPr>
        <w:b w:val="0"/>
      </w:r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567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List Paragraph"/>
    <w:basedOn w:val="Style_5"/>
    <w:link w:val="Style_7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7_ch" w:type="character">
    <w:name w:val="List Paragraph"/>
    <w:basedOn w:val="Style_5_ch"/>
    <w:link w:val="Style_7"/>
    <w:rPr>
      <w:rFonts w:ascii="Calibri" w:hAnsi="Calibri"/>
      <w:sz w:val="22"/>
    </w:rPr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toc 3"/>
    <w:next w:val="Style_5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er"/>
    <w:basedOn w:val="Style_5"/>
    <w:link w:val="Style_14_ch"/>
    <w:pPr>
      <w:widowControl w:val="1"/>
      <w:tabs>
        <w:tab w:leader="none" w:pos="4677" w:val="center"/>
        <w:tab w:leader="none" w:pos="9355" w:val="right"/>
      </w:tabs>
      <w:ind/>
    </w:pPr>
  </w:style>
  <w:style w:styleId="Style_14_ch" w:type="character">
    <w:name w:val="header"/>
    <w:basedOn w:val="Style_5_ch"/>
    <w:link w:val="Style_14"/>
  </w:style>
  <w:style w:styleId="Style_15" w:type="paragraph">
    <w:name w:val="heading 5"/>
    <w:next w:val="Style_5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5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5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3" w:type="paragraph">
    <w:name w:val="ConsPlusNormal"/>
    <w:link w:val="Style_3_ch"/>
    <w:pPr>
      <w:widowControl w:val="0"/>
      <w:ind w:firstLine="720"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5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5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5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5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Balloon Text"/>
    <w:basedOn w:val="Style_5"/>
    <w:link w:val="Style_25_ch"/>
    <w:rPr>
      <w:rFonts w:ascii="Tahoma" w:hAnsi="Tahoma"/>
      <w:sz w:val="16"/>
    </w:rPr>
  </w:style>
  <w:style w:styleId="Style_25_ch" w:type="character">
    <w:name w:val="Balloon Text"/>
    <w:basedOn w:val="Style_5_ch"/>
    <w:link w:val="Style_25"/>
    <w:rPr>
      <w:rFonts w:ascii="Tahoma" w:hAnsi="Tahoma"/>
      <w:sz w:val="16"/>
    </w:rPr>
  </w:style>
  <w:style w:styleId="Style_26" w:type="paragraph">
    <w:name w:val="Title"/>
    <w:next w:val="Style_5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heading 4"/>
    <w:next w:val="Style_5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1" w:type="paragraph">
    <w:name w:val="foot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5_ch"/>
    <w:link w:val="Style_1"/>
  </w:style>
  <w:style w:styleId="Style_29" w:type="paragraph">
    <w:name w:val="heading 2"/>
    <w:next w:val="Style_5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styleId="Style_4" w:type="paragraph">
    <w:name w:val="blk"/>
    <w:link w:val="Style_4_ch"/>
  </w:style>
  <w:style w:styleId="Style_4_ch" w:type="character">
    <w:name w:val="blk"/>
    <w:link w:val="Style_4"/>
  </w:style>
  <w:style w:styleId="Style_30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2026-10-27T05:51:58Z</dcterms:created>
  <dcterms:modified xsi:type="dcterms:W3CDTF">2026-10-27T05:51:58Z</dcterms:modified>
</cp:coreProperties>
</file>