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9" w:rsidRPr="006C5AD8" w:rsidRDefault="00C766B9" w:rsidP="006C5AD8">
      <w:pPr>
        <w:jc w:val="right"/>
        <w:rPr>
          <w:b/>
          <w:bCs/>
          <w:kern w:val="28"/>
          <w:sz w:val="32"/>
          <w:szCs w:val="32"/>
        </w:rPr>
      </w:pPr>
      <w:r w:rsidRPr="006C5AD8">
        <w:rPr>
          <w:b/>
          <w:bCs/>
          <w:kern w:val="28"/>
          <w:sz w:val="32"/>
          <w:szCs w:val="32"/>
        </w:rPr>
        <w:t>Приложение</w:t>
      </w:r>
    </w:p>
    <w:p w:rsidR="00C766B9" w:rsidRPr="006C5AD8" w:rsidRDefault="00C766B9" w:rsidP="006C5AD8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766B9" w:rsidRPr="006C5AD8" w:rsidRDefault="00C766B9" w:rsidP="006C5AD8">
      <w:pPr>
        <w:jc w:val="right"/>
        <w:rPr>
          <w:b/>
          <w:bCs/>
          <w:kern w:val="28"/>
          <w:sz w:val="32"/>
          <w:szCs w:val="32"/>
        </w:rPr>
      </w:pPr>
      <w:r w:rsidRPr="006C5AD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766B9" w:rsidRPr="006C5AD8" w:rsidRDefault="00C766B9" w:rsidP="006C5AD8">
      <w:pPr>
        <w:jc w:val="right"/>
        <w:rPr>
          <w:b/>
          <w:bCs/>
          <w:kern w:val="28"/>
          <w:sz w:val="32"/>
          <w:szCs w:val="32"/>
        </w:rPr>
      </w:pPr>
      <w:r w:rsidRPr="006C5AD8">
        <w:rPr>
          <w:b/>
          <w:bCs/>
          <w:kern w:val="28"/>
          <w:sz w:val="32"/>
          <w:szCs w:val="32"/>
        </w:rPr>
        <w:t>от 15.10.2015 г. №1082</w:t>
      </w:r>
    </w:p>
    <w:p w:rsidR="00C766B9" w:rsidRPr="006C5AD8" w:rsidRDefault="00C766B9" w:rsidP="006C5AD8"/>
    <w:p w:rsidR="00C766B9" w:rsidRPr="006C5AD8" w:rsidRDefault="00C766B9" w:rsidP="006C5AD8">
      <w:pPr>
        <w:jc w:val="center"/>
        <w:rPr>
          <w:b/>
          <w:bCs/>
          <w:kern w:val="32"/>
          <w:sz w:val="32"/>
          <w:szCs w:val="32"/>
        </w:rPr>
      </w:pPr>
      <w:r w:rsidRPr="006C5AD8">
        <w:rPr>
          <w:b/>
          <w:bCs/>
          <w:kern w:val="32"/>
          <w:sz w:val="32"/>
          <w:szCs w:val="32"/>
        </w:rPr>
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2015-2018 годы</w:t>
      </w:r>
    </w:p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</w:p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Паспорт муниципальной программы «Поощрение граждан, организаций за заслуги в социально-экономическом развитии Крапивинского муниципального района» на 2015-2018 годы</w:t>
      </w:r>
    </w:p>
    <w:p w:rsidR="00C766B9" w:rsidRPr="006C5AD8" w:rsidRDefault="00C766B9" w:rsidP="006C5AD8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032"/>
        <w:gridCol w:w="5473"/>
      </w:tblGrid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0"/>
            </w:pPr>
            <w:r w:rsidRPr="006C5AD8"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0"/>
            </w:pPr>
            <w:r w:rsidRPr="006C5AD8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2015-2018 годы (далее – Муниципальная программа)</w:t>
            </w:r>
          </w:p>
        </w:tc>
      </w:tr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Директор 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Заместитель главы Крапивинского муниципального района А.В. Димитриев</w:t>
            </w:r>
          </w:p>
        </w:tc>
      </w:tr>
      <w:tr w:rsidR="00C766B9" w:rsidRPr="006C5AD8">
        <w:trPr>
          <w:trHeight w:val="400"/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>Ответственный исполнитель (координатор)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 xml:space="preserve">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>Исполнители муниципальной программы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 xml:space="preserve"> - улучшение материального благосостояния Почетных граждан Крапивинского  района</w:t>
            </w:r>
          </w:p>
        </w:tc>
      </w:tr>
      <w:tr w:rsidR="00C766B9" w:rsidRPr="006C5AD8">
        <w:trPr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Срок реализации муниципальной программы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2015-2018 годы</w:t>
            </w:r>
            <w:r w:rsidRPr="006C5AD8">
              <w:tab/>
            </w:r>
          </w:p>
        </w:tc>
      </w:tr>
      <w:tr w:rsidR="00C766B9" w:rsidRPr="006C5AD8">
        <w:trPr>
          <w:trHeight w:val="600"/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Средства местного бюджета за период 2015-2018 годы 4 295,1 тыс. руб.; в т.ч.:</w:t>
            </w:r>
          </w:p>
          <w:p w:rsidR="00C766B9" w:rsidRPr="006C5AD8" w:rsidRDefault="00C766B9" w:rsidP="006C5AD8">
            <w:pPr>
              <w:pStyle w:val="Table"/>
            </w:pPr>
          </w:p>
          <w:p w:rsidR="00C766B9" w:rsidRPr="006C5AD8" w:rsidRDefault="00C766B9" w:rsidP="006C5AD8">
            <w:pPr>
              <w:pStyle w:val="Table"/>
            </w:pPr>
            <w:r w:rsidRPr="006C5AD8">
              <w:t>-2015г.- 1 295,1 тыс. руб.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-2016г.- 1 000 тыс. руб.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-2017г.- 1 000 тыс. руб.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-2018г. - 1 000 тыс. руб.</w:t>
            </w:r>
          </w:p>
        </w:tc>
      </w:tr>
      <w:tr w:rsidR="00C766B9" w:rsidRPr="006C5AD8">
        <w:trPr>
          <w:trHeight w:val="400"/>
          <w:tblCellSpacing w:w="5" w:type="nil"/>
        </w:trPr>
        <w:tc>
          <w:tcPr>
            <w:tcW w:w="3969" w:type="dxa"/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Ожидаемые конечные результаты реализации 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муниципальной программы</w:t>
            </w:r>
          </w:p>
        </w:tc>
        <w:tc>
          <w:tcPr>
            <w:tcW w:w="5387" w:type="dxa"/>
          </w:tcPr>
          <w:p w:rsidR="00C766B9" w:rsidRPr="006C5AD8" w:rsidRDefault="00C766B9" w:rsidP="006C5AD8">
            <w:pPr>
              <w:pStyle w:val="Table"/>
            </w:pPr>
            <w:r w:rsidRPr="006C5AD8">
              <w:t>- проведение не менее 9 торжественных мероприятий Крапивинского муниципального района посвященных юбилейным и памятным датам, государственным и профессиональным праздникам в год;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 поощрение в связи с юбилейными, государственными и профессиональными праздниками  не менее 600 человек в год;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 поздравление в связи с юбилейными, государственными и профессиональными праздниками  не менее 3000 человек в год;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- выплата единовременного денежного пособия Почетным гражданам Крапивинского района не менее 4 жителям в год.</w:t>
            </w:r>
          </w:p>
        </w:tc>
      </w:tr>
    </w:tbl>
    <w:p w:rsidR="00C766B9" w:rsidRPr="006C5AD8" w:rsidRDefault="00C766B9" w:rsidP="006C5AD8"/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C766B9" w:rsidRPr="006C5AD8" w:rsidRDefault="00C766B9" w:rsidP="006C5AD8"/>
    <w:p w:rsidR="00C766B9" w:rsidRPr="006C5AD8" w:rsidRDefault="00C766B9" w:rsidP="006C5AD8">
      <w:r w:rsidRPr="006C5AD8">
        <w:t xml:space="preserve">Разработка Муниципальной программы обусловлена  необходимостью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Pr="006C5AD8">
        <w:tab/>
        <w:t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</w:t>
      </w:r>
      <w:r>
        <w:t>уководителей и имидж профессий.</w:t>
      </w:r>
    </w:p>
    <w:p w:rsidR="00C766B9" w:rsidRPr="006C5AD8" w:rsidRDefault="00C766B9" w:rsidP="006C5AD8">
      <w:r w:rsidRPr="006C5AD8"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2 жителя Кемеровской области, которым присвоено данное звание за особые заслуги перед Крапивинским районом.</w:t>
      </w:r>
    </w:p>
    <w:p w:rsidR="00C766B9" w:rsidRPr="006C5AD8" w:rsidRDefault="00C766B9" w:rsidP="006C5AD8">
      <w:r w:rsidRPr="006C5AD8"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  достижение значимого роста и экономической стабильности Крапивинского района, общественную деятельность.</w:t>
      </w:r>
    </w:p>
    <w:p w:rsidR="00C766B9" w:rsidRPr="006C5AD8" w:rsidRDefault="00C766B9" w:rsidP="006C5AD8"/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 xml:space="preserve"> </w:t>
      </w:r>
      <w:r w:rsidRPr="006C5AD8">
        <w:rPr>
          <w:b/>
          <w:bCs/>
          <w:sz w:val="30"/>
          <w:szCs w:val="30"/>
        </w:rPr>
        <w:t>Описание целей и задач муниципальной программы</w:t>
      </w:r>
    </w:p>
    <w:p w:rsidR="00C766B9" w:rsidRDefault="00C766B9" w:rsidP="006C5AD8"/>
    <w:p w:rsidR="00C766B9" w:rsidRPr="006C5AD8" w:rsidRDefault="00C766B9" w:rsidP="006C5AD8">
      <w:r w:rsidRPr="006C5AD8">
        <w:t xml:space="preserve">Цели Муниципальной программы: </w:t>
      </w:r>
    </w:p>
    <w:p w:rsidR="00C766B9" w:rsidRPr="006C5AD8" w:rsidRDefault="00C766B9" w:rsidP="006C5AD8">
      <w:r w:rsidRPr="006C5AD8"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работы.</w:t>
      </w:r>
    </w:p>
    <w:p w:rsidR="00C766B9" w:rsidRPr="006C5AD8" w:rsidRDefault="00C766B9" w:rsidP="006C5AD8">
      <w:r w:rsidRPr="006C5AD8">
        <w:t>Задачи Муниципальной программы:</w:t>
      </w:r>
    </w:p>
    <w:p w:rsidR="00C766B9" w:rsidRPr="006C5AD8" w:rsidRDefault="00C766B9" w:rsidP="006C5AD8">
      <w:r w:rsidRPr="006C5AD8">
        <w:t xml:space="preserve"> 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C766B9" w:rsidRPr="006C5AD8" w:rsidRDefault="00C766B9" w:rsidP="006C5AD8">
      <w:r w:rsidRPr="006C5AD8">
        <w:t xml:space="preserve"> - улучшение материального благосостояния Почетных граждан Крапивинского района.</w:t>
      </w:r>
    </w:p>
    <w:p w:rsidR="00C766B9" w:rsidRPr="006C5AD8" w:rsidRDefault="00C766B9" w:rsidP="006C5AD8"/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</w:t>
      </w:r>
      <w:r>
        <w:rPr>
          <w:b/>
          <w:bCs/>
          <w:sz w:val="30"/>
          <w:szCs w:val="30"/>
        </w:rPr>
        <w:t>приятий муниципальной программы</w:t>
      </w:r>
    </w:p>
    <w:p w:rsidR="00C766B9" w:rsidRPr="006C5AD8" w:rsidRDefault="00C766B9" w:rsidP="006C5AD8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2"/>
        <w:gridCol w:w="402"/>
        <w:gridCol w:w="1962"/>
        <w:gridCol w:w="417"/>
        <w:gridCol w:w="1808"/>
        <w:gridCol w:w="556"/>
        <w:gridCol w:w="1732"/>
      </w:tblGrid>
      <w:tr w:rsidR="00C766B9" w:rsidRPr="006C5AD8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66B9" w:rsidRPr="006C5AD8" w:rsidRDefault="00C766B9" w:rsidP="006C5AD8">
            <w:pPr>
              <w:pStyle w:val="Table0"/>
            </w:pPr>
            <w:r w:rsidRPr="006C5AD8">
              <w:t>Наименование подпрограммы, основного мероприятия,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66B9" w:rsidRPr="006C5AD8" w:rsidRDefault="00C766B9" w:rsidP="006C5AD8">
            <w:pPr>
              <w:pStyle w:val="Table0"/>
            </w:pPr>
            <w:r w:rsidRPr="006C5AD8">
              <w:t>Краткое описание подпрограммы, основного мероприятия,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66B9" w:rsidRPr="006C5AD8" w:rsidRDefault="00C766B9" w:rsidP="006C5AD8">
            <w:pPr>
              <w:pStyle w:val="Table0"/>
            </w:pPr>
            <w:r w:rsidRPr="006C5AD8"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66B9" w:rsidRPr="006C5AD8" w:rsidRDefault="00C766B9" w:rsidP="006C5AD8">
            <w:pPr>
              <w:pStyle w:val="Table0"/>
            </w:pPr>
            <w:r w:rsidRPr="006C5AD8">
              <w:t>Порядок определения (формула)</w:t>
            </w:r>
          </w:p>
        </w:tc>
      </w:tr>
      <w:tr w:rsidR="00C766B9" w:rsidRPr="006C5AD8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</w:tr>
      <w:tr w:rsidR="00C766B9" w:rsidRP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1. Цель: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766B9" w:rsidRP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1. Задача: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C766B9" w:rsidRPr="006C5AD8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1. Основное мероприятие: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Совершенствование процедуры моральных и материальных стимулов для  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</w:tc>
      </w:tr>
      <w:tr w:rsidR="00C766B9" w:rsidRP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1.1. Мероприятие: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денежное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Материальное стимулирование 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Абсолютное количество награждаемых жителей в отчетном периоде</w:t>
            </w:r>
          </w:p>
        </w:tc>
      </w:tr>
      <w:tr w:rsidR="00C766B9" w:rsidRP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1.2. Мероприятие:</w:t>
            </w:r>
          </w:p>
          <w:p w:rsidR="00C766B9" w:rsidRPr="006C5AD8" w:rsidRDefault="00C766B9" w:rsidP="006C5AD8">
            <w:pPr>
              <w:pStyle w:val="Table"/>
            </w:pPr>
            <w:r w:rsidRPr="006C5AD8">
              <w:t>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Абсолютное 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 в отчетном периоде</w:t>
            </w:r>
          </w:p>
        </w:tc>
      </w:tr>
      <w:tr w:rsidR="00C766B9" w:rsidRP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2. Задача: улучшение материального благосостояния Почетных граждан Крапивинского  района</w:t>
            </w:r>
          </w:p>
        </w:tc>
      </w:tr>
      <w:tr w:rsidR="00C766B9" w:rsidRP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6B9" w:rsidRPr="006C5AD8" w:rsidRDefault="00C766B9" w:rsidP="006C5AD8">
            <w:pPr>
              <w:pStyle w:val="Table"/>
            </w:pPr>
            <w:r w:rsidRPr="006C5AD8">
              <w:t>Абсолютное количество граждан, получающих ежемесячное пособие в отчетном периоде</w:t>
            </w:r>
          </w:p>
        </w:tc>
      </w:tr>
    </w:tbl>
    <w:p w:rsidR="00C766B9" w:rsidRPr="006C5AD8" w:rsidRDefault="00C766B9" w:rsidP="006C5AD8">
      <w:bookmarkStart w:id="0" w:name="Par222"/>
      <w:bookmarkEnd w:id="0"/>
    </w:p>
    <w:p w:rsidR="00C766B9" w:rsidRPr="006C5AD8" w:rsidRDefault="00C766B9" w:rsidP="006C5AD8">
      <w:pPr>
        <w:jc w:val="center"/>
      </w:pPr>
      <w:bookmarkStart w:id="1" w:name="Par255"/>
      <w:bookmarkEnd w:id="1"/>
      <w:r w:rsidRPr="006C5AD8">
        <w:rPr>
          <w:b/>
          <w:bCs/>
          <w:sz w:val="30"/>
          <w:szCs w:val="30"/>
        </w:rPr>
        <w:t xml:space="preserve">4. Ресурсное обеспечение реализации муниципальной программы </w:t>
      </w:r>
    </w:p>
    <w:p w:rsidR="00C766B9" w:rsidRPr="006C5AD8" w:rsidRDefault="00C766B9" w:rsidP="006C5AD8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88"/>
        <w:gridCol w:w="1377"/>
        <w:gridCol w:w="1103"/>
        <w:gridCol w:w="1103"/>
        <w:gridCol w:w="829"/>
        <w:gridCol w:w="1105"/>
      </w:tblGrid>
      <w:tr w:rsidR="00C766B9" w:rsidRPr="006C5AD8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0"/>
            </w:pPr>
            <w:r w:rsidRPr="006C5AD8">
              <w:t>Наименование</w:t>
            </w:r>
          </w:p>
          <w:p w:rsidR="00C766B9" w:rsidRPr="006C5AD8" w:rsidRDefault="00C766B9" w:rsidP="006C5AD8">
            <w:pPr>
              <w:pStyle w:val="Table0"/>
            </w:pPr>
            <w:r w:rsidRPr="006C5AD8">
              <w:t>муниципальной программы,</w:t>
            </w:r>
          </w:p>
          <w:p w:rsidR="00C766B9" w:rsidRPr="006C5AD8" w:rsidRDefault="00C766B9" w:rsidP="006C5AD8">
            <w:pPr>
              <w:pStyle w:val="Table0"/>
            </w:pPr>
            <w:r w:rsidRPr="006C5AD8">
              <w:t>подпрограммы, мероприятия</w:t>
            </w:r>
          </w:p>
        </w:tc>
        <w:tc>
          <w:tcPr>
            <w:tcW w:w="1417" w:type="dxa"/>
            <w:vMerge w:val="restart"/>
          </w:tcPr>
          <w:p w:rsidR="00C766B9" w:rsidRPr="006C5AD8" w:rsidRDefault="00C766B9" w:rsidP="006C5AD8">
            <w:pPr>
              <w:pStyle w:val="Table0"/>
            </w:pPr>
            <w:r w:rsidRPr="006C5AD8">
              <w:t>Источник финансирования</w:t>
            </w:r>
          </w:p>
        </w:tc>
        <w:tc>
          <w:tcPr>
            <w:tcW w:w="4255" w:type="dxa"/>
            <w:gridSpan w:val="4"/>
          </w:tcPr>
          <w:p w:rsidR="00C766B9" w:rsidRPr="006C5AD8" w:rsidRDefault="00C766B9" w:rsidP="006C5AD8">
            <w:pPr>
              <w:pStyle w:val="Table0"/>
            </w:pPr>
            <w:r w:rsidRPr="006C5AD8">
              <w:t>Объем финансовых ресурсов,</w:t>
            </w:r>
          </w:p>
          <w:p w:rsidR="00C766B9" w:rsidRPr="006C5AD8" w:rsidRDefault="00C766B9" w:rsidP="006C5AD8">
            <w:pPr>
              <w:pStyle w:val="Table0"/>
            </w:pPr>
            <w:r w:rsidRPr="006C5AD8">
              <w:t>тыс. рублей</w:t>
            </w:r>
          </w:p>
        </w:tc>
      </w:tr>
      <w:tr w:rsidR="00C766B9" w:rsidRPr="006C5AD8">
        <w:trPr>
          <w:trHeight w:val="617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2015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2016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2017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2018</w:t>
            </w:r>
          </w:p>
        </w:tc>
      </w:tr>
      <w:tr w:rsidR="00C766B9" w:rsidRPr="006C5AD8">
        <w:trPr>
          <w:tblCellSpacing w:w="5" w:type="nil"/>
        </w:trPr>
        <w:tc>
          <w:tcPr>
            <w:tcW w:w="4112" w:type="dxa"/>
          </w:tcPr>
          <w:p w:rsidR="00C766B9" w:rsidRPr="006C5AD8" w:rsidRDefault="00C766B9" w:rsidP="006C5AD8">
            <w:pPr>
              <w:pStyle w:val="Table"/>
            </w:pPr>
            <w:r w:rsidRPr="006C5AD8">
              <w:t>1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2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3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6</w:t>
            </w:r>
          </w:p>
        </w:tc>
      </w:tr>
      <w:tr w:rsidR="00C766B9" w:rsidRPr="006C5AD8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"/>
            </w:pPr>
            <w:r w:rsidRPr="006C5AD8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1295,1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</w:tr>
      <w:tr w:rsidR="00C766B9" w:rsidRPr="006C5AD8">
        <w:trPr>
          <w:trHeight w:val="225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местный бюджет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1295,1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1000,0</w:t>
            </w:r>
          </w:p>
        </w:tc>
      </w:tr>
      <w:tr w:rsidR="00C766B9" w:rsidRPr="006C5AD8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"/>
            </w:pPr>
            <w:r w:rsidRPr="006C5AD8">
              <w:t>1. Основное мероприятие: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1170,1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</w:tr>
      <w:tr w:rsidR="00C766B9" w:rsidRPr="006C5AD8">
        <w:trPr>
          <w:trHeight w:val="225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местный бюджет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1170,1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812,5</w:t>
            </w:r>
          </w:p>
        </w:tc>
      </w:tr>
      <w:tr w:rsidR="00C766B9" w:rsidRPr="006C5AD8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"/>
            </w:pPr>
            <w:r w:rsidRPr="006C5AD8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1028,2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</w:tr>
      <w:tr w:rsidR="00C766B9" w:rsidRPr="006C5AD8">
        <w:trPr>
          <w:trHeight w:val="797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местный бюджет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1028,2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512,5</w:t>
            </w:r>
          </w:p>
        </w:tc>
      </w:tr>
      <w:tr w:rsidR="00C766B9" w:rsidRPr="006C5AD8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"/>
            </w:pPr>
            <w:r w:rsidRPr="006C5AD8"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141,9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</w:tr>
      <w:tr w:rsidR="00C766B9" w:rsidRPr="006C5AD8">
        <w:trPr>
          <w:trHeight w:val="1238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местный бюджет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141,9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300,0</w:t>
            </w:r>
          </w:p>
        </w:tc>
      </w:tr>
      <w:tr w:rsidR="00C766B9" w:rsidRPr="006C5AD8">
        <w:trPr>
          <w:trHeight w:val="320"/>
          <w:tblCellSpacing w:w="5" w:type="nil"/>
        </w:trPr>
        <w:tc>
          <w:tcPr>
            <w:tcW w:w="4112" w:type="dxa"/>
            <w:vMerge w:val="restart"/>
          </w:tcPr>
          <w:p w:rsidR="00C766B9" w:rsidRPr="006C5AD8" w:rsidRDefault="00C766B9" w:rsidP="006C5AD8">
            <w:pPr>
              <w:pStyle w:val="Table"/>
            </w:pPr>
            <w:bookmarkStart w:id="2" w:name="Par248"/>
            <w:bookmarkEnd w:id="2"/>
            <w:r w:rsidRPr="006C5AD8"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125,0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</w:tr>
      <w:tr w:rsidR="00C766B9" w:rsidRPr="006C5AD8">
        <w:trPr>
          <w:trHeight w:val="320"/>
          <w:tblCellSpacing w:w="5" w:type="nil"/>
        </w:trPr>
        <w:tc>
          <w:tcPr>
            <w:tcW w:w="4112" w:type="dxa"/>
            <w:vMerge/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417" w:type="dxa"/>
          </w:tcPr>
          <w:p w:rsidR="00C766B9" w:rsidRPr="006C5AD8" w:rsidRDefault="00C766B9" w:rsidP="006C5AD8">
            <w:pPr>
              <w:pStyle w:val="Table"/>
            </w:pPr>
            <w:r w:rsidRPr="006C5AD8">
              <w:t>местный бюджет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125,0</w:t>
            </w:r>
          </w:p>
        </w:tc>
        <w:tc>
          <w:tcPr>
            <w:tcW w:w="1134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851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1136" w:type="dxa"/>
          </w:tcPr>
          <w:p w:rsidR="00C766B9" w:rsidRPr="006C5AD8" w:rsidRDefault="00C766B9" w:rsidP="006C5AD8">
            <w:pPr>
              <w:pStyle w:val="Table"/>
            </w:pPr>
            <w:r w:rsidRPr="006C5AD8">
              <w:t>187,5</w:t>
            </w:r>
          </w:p>
        </w:tc>
      </w:tr>
    </w:tbl>
    <w:p w:rsidR="00C766B9" w:rsidRPr="006C5AD8" w:rsidRDefault="00C766B9" w:rsidP="006C5AD8"/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766B9" w:rsidRPr="006C5AD8" w:rsidRDefault="00C766B9" w:rsidP="006C5AD8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8"/>
        <w:gridCol w:w="2168"/>
        <w:gridCol w:w="683"/>
        <w:gridCol w:w="818"/>
        <w:gridCol w:w="953"/>
        <w:gridCol w:w="818"/>
        <w:gridCol w:w="1087"/>
      </w:tblGrid>
      <w:tr w:rsidR="00C766B9" w:rsidRPr="006C5AD8">
        <w:trPr>
          <w:trHeight w:val="48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0"/>
            </w:pPr>
            <w:r w:rsidRPr="006C5AD8">
              <w:t>Наименование</w:t>
            </w:r>
            <w:r>
              <w:t xml:space="preserve"> </w:t>
            </w:r>
            <w:r w:rsidRPr="006C5AD8">
              <w:t>муниципальной программы,</w:t>
            </w:r>
            <w:r>
              <w:t xml:space="preserve"> </w:t>
            </w:r>
            <w:r w:rsidRPr="006C5AD8">
              <w:t>подпрограммы, основного мероприятия,</w:t>
            </w:r>
            <w:r>
              <w:t xml:space="preserve"> </w:t>
            </w:r>
            <w:r w:rsidRPr="006C5AD8"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0"/>
            </w:pPr>
            <w:r w:rsidRPr="006C5AD8">
              <w:t>Наименование целевого</w:t>
            </w:r>
            <w:r>
              <w:t xml:space="preserve"> </w:t>
            </w:r>
            <w:r w:rsidRPr="006C5AD8"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0"/>
            </w:pPr>
            <w:r w:rsidRPr="006C5AD8">
              <w:t>Единица</w:t>
            </w:r>
            <w:r>
              <w:t xml:space="preserve"> </w:t>
            </w:r>
            <w:r w:rsidRPr="006C5AD8">
              <w:t>измерения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Плановое значение целевого показателя (индикатора)</w:t>
            </w:r>
          </w:p>
        </w:tc>
      </w:tr>
      <w:tr w:rsidR="00C766B9" w:rsidRPr="006C5AD8">
        <w:trPr>
          <w:trHeight w:val="48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2017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2018</w:t>
            </w:r>
          </w:p>
        </w:tc>
      </w:tr>
      <w:tr w:rsidR="00C766B9" w:rsidRP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8</w:t>
            </w:r>
          </w:p>
        </w:tc>
      </w:tr>
      <w:tr w:rsidR="00C766B9" w:rsidRPr="006C5AD8">
        <w:trPr>
          <w:trHeight w:val="1913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</w:p>
        </w:tc>
      </w:tr>
      <w:tr w:rsidR="00C766B9" w:rsidRPr="006C5AD8">
        <w:trPr>
          <w:trHeight w:val="57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1. Основное мероприятие: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9</w:t>
            </w:r>
          </w:p>
        </w:tc>
      </w:tr>
      <w:tr w:rsidR="00C766B9" w:rsidRP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награждаемых жителей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595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600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600</w:t>
            </w:r>
          </w:p>
        </w:tc>
      </w:tr>
      <w:tr w:rsidR="00C766B9" w:rsidRP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  <w:bookmarkStart w:id="3" w:name="_GoBack"/>
            <w:bookmarkEnd w:id="3"/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2050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3000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3000</w:t>
            </w:r>
          </w:p>
        </w:tc>
      </w:tr>
      <w:tr w:rsidR="00C766B9" w:rsidRPr="006C5AD8">
        <w:trPr>
          <w:trHeight w:val="140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 xml:space="preserve">Количество граждан  получающих ежемесячное пособие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9" w:rsidRPr="006C5AD8" w:rsidRDefault="00C766B9" w:rsidP="006C5AD8">
            <w:pPr>
              <w:pStyle w:val="Table"/>
            </w:pPr>
            <w:r w:rsidRPr="006C5AD8">
              <w:t>4</w:t>
            </w:r>
          </w:p>
        </w:tc>
      </w:tr>
    </w:tbl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</w:p>
    <w:p w:rsidR="00C766B9" w:rsidRPr="006C5AD8" w:rsidRDefault="00C766B9" w:rsidP="006C5AD8">
      <w:pPr>
        <w:jc w:val="center"/>
        <w:rPr>
          <w:b/>
          <w:bCs/>
          <w:sz w:val="30"/>
          <w:szCs w:val="30"/>
        </w:rPr>
      </w:pPr>
      <w:r w:rsidRPr="006C5AD8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C766B9" w:rsidRDefault="00C766B9" w:rsidP="006C5AD8"/>
    <w:p w:rsidR="00C766B9" w:rsidRPr="006C5AD8" w:rsidRDefault="00C766B9" w:rsidP="006C5AD8">
      <w:r w:rsidRPr="006C5AD8"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766B9" w:rsidRPr="006C5AD8" w:rsidRDefault="00C766B9" w:rsidP="006C5AD8">
      <w:r w:rsidRPr="006C5AD8"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766B9" w:rsidRPr="006C5AD8" w:rsidRDefault="00C766B9" w:rsidP="006C5AD8">
      <w:r w:rsidRPr="006C5AD8">
        <w:t>Коэффициент эффективности Программы рассчитывается по формуле:</w:t>
      </w:r>
    </w:p>
    <w:p w:rsidR="00C766B9" w:rsidRPr="006C5AD8" w:rsidRDefault="00C766B9" w:rsidP="006C5AD8">
      <w:r w:rsidRPr="006C5AD8">
        <w:t>КЭП = (∑I)/(∑Max), где:</w:t>
      </w:r>
    </w:p>
    <w:p w:rsidR="00C766B9" w:rsidRPr="006C5AD8" w:rsidRDefault="00C766B9" w:rsidP="006C5AD8">
      <w:r w:rsidRPr="006C5AD8">
        <w:t>∑I - сумма условных индексов по всем показателям;</w:t>
      </w:r>
    </w:p>
    <w:p w:rsidR="00C766B9" w:rsidRPr="006C5AD8" w:rsidRDefault="00C766B9" w:rsidP="006C5AD8">
      <w:r w:rsidRPr="006C5AD8">
        <w:t>∑Max - сумма максимальных значений условных индексов по всем показателям.</w:t>
      </w:r>
    </w:p>
    <w:p w:rsidR="00C766B9" w:rsidRPr="006C5AD8" w:rsidRDefault="00C766B9" w:rsidP="006C5AD8">
      <w:r w:rsidRPr="006C5AD8">
        <w:t>Условный индекс показателя определяется исходя из следующих условий:</w:t>
      </w:r>
    </w:p>
    <w:p w:rsidR="00C766B9" w:rsidRPr="006C5AD8" w:rsidRDefault="00C766B9" w:rsidP="006C5AD8">
      <w:r w:rsidRPr="006C5AD8"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766B9" w:rsidRPr="006C5AD8" w:rsidRDefault="00C766B9" w:rsidP="006C5AD8">
      <w:r w:rsidRPr="006C5AD8">
        <w:t>- при невыполнении планового значения показателя в отчетном периоде показателю присваивается условный индекс «0».</w:t>
      </w:r>
    </w:p>
    <w:p w:rsidR="00C766B9" w:rsidRPr="006C5AD8" w:rsidRDefault="00C766B9" w:rsidP="006C5AD8">
      <w:r w:rsidRPr="006C5AD8">
        <w:t>По результатам определения коэффициента эффективности Программе присваиваются следующие критерии оценок:</w:t>
      </w:r>
    </w:p>
    <w:p w:rsidR="00C766B9" w:rsidRPr="006C5AD8" w:rsidRDefault="00C766B9" w:rsidP="006C5AD8">
      <w:r w:rsidRPr="006C5AD8">
        <w:t>«хорошо» – при КЭП ≥ 0,75;</w:t>
      </w:r>
    </w:p>
    <w:p w:rsidR="00C766B9" w:rsidRPr="006C5AD8" w:rsidRDefault="00C766B9" w:rsidP="006C5AD8">
      <w:r w:rsidRPr="006C5AD8">
        <w:t>«удовлетворительно» – при 0,50 ≤ КЭП &lt; 0,75;</w:t>
      </w:r>
    </w:p>
    <w:p w:rsidR="00C766B9" w:rsidRPr="006C5AD8" w:rsidRDefault="00C766B9" w:rsidP="006C5AD8">
      <w:r w:rsidRPr="006C5AD8">
        <w:t>«неудовлетворительно» – при КЭП &lt; 0,50.</w:t>
      </w:r>
    </w:p>
    <w:sectPr w:rsidR="00C766B9" w:rsidRPr="006C5AD8" w:rsidSect="006C5AD8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67A6"/>
    <w:rsid w:val="0009540D"/>
    <w:rsid w:val="000A0A35"/>
    <w:rsid w:val="000A7EDF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34344"/>
    <w:rsid w:val="00144342"/>
    <w:rsid w:val="00156383"/>
    <w:rsid w:val="00185405"/>
    <w:rsid w:val="00193CE4"/>
    <w:rsid w:val="001A3B75"/>
    <w:rsid w:val="001A66C1"/>
    <w:rsid w:val="001B1D4A"/>
    <w:rsid w:val="001D0F31"/>
    <w:rsid w:val="001D4446"/>
    <w:rsid w:val="001D4C04"/>
    <w:rsid w:val="001D602B"/>
    <w:rsid w:val="001E5586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FF3"/>
    <w:rsid w:val="002522E6"/>
    <w:rsid w:val="00254044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4A94"/>
    <w:rsid w:val="003338E6"/>
    <w:rsid w:val="00336B21"/>
    <w:rsid w:val="00342395"/>
    <w:rsid w:val="003514A1"/>
    <w:rsid w:val="00355C0A"/>
    <w:rsid w:val="003607AB"/>
    <w:rsid w:val="00370DBF"/>
    <w:rsid w:val="003751A8"/>
    <w:rsid w:val="00382F6D"/>
    <w:rsid w:val="003937A3"/>
    <w:rsid w:val="003A0BB6"/>
    <w:rsid w:val="003B4CC7"/>
    <w:rsid w:val="003B4DE1"/>
    <w:rsid w:val="003B7682"/>
    <w:rsid w:val="003C2B8B"/>
    <w:rsid w:val="003D2359"/>
    <w:rsid w:val="003D7CCF"/>
    <w:rsid w:val="003F0E58"/>
    <w:rsid w:val="00406AA3"/>
    <w:rsid w:val="004114CC"/>
    <w:rsid w:val="00426F21"/>
    <w:rsid w:val="0043459B"/>
    <w:rsid w:val="00442D12"/>
    <w:rsid w:val="004520B7"/>
    <w:rsid w:val="004675E0"/>
    <w:rsid w:val="004747D7"/>
    <w:rsid w:val="00485CDB"/>
    <w:rsid w:val="004908B2"/>
    <w:rsid w:val="0049097F"/>
    <w:rsid w:val="004926C6"/>
    <w:rsid w:val="00494011"/>
    <w:rsid w:val="00494677"/>
    <w:rsid w:val="0049596B"/>
    <w:rsid w:val="00496A99"/>
    <w:rsid w:val="004B154F"/>
    <w:rsid w:val="004B5D7A"/>
    <w:rsid w:val="004C32DA"/>
    <w:rsid w:val="004F1092"/>
    <w:rsid w:val="004F2CDF"/>
    <w:rsid w:val="00507DCF"/>
    <w:rsid w:val="00513F92"/>
    <w:rsid w:val="00516F75"/>
    <w:rsid w:val="00523A58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B1E72"/>
    <w:rsid w:val="00614CB9"/>
    <w:rsid w:val="006211CF"/>
    <w:rsid w:val="006246DA"/>
    <w:rsid w:val="0062502A"/>
    <w:rsid w:val="00625A80"/>
    <w:rsid w:val="00633666"/>
    <w:rsid w:val="00637243"/>
    <w:rsid w:val="00662F78"/>
    <w:rsid w:val="00670403"/>
    <w:rsid w:val="00673DE2"/>
    <w:rsid w:val="0067582F"/>
    <w:rsid w:val="00675F99"/>
    <w:rsid w:val="006817FA"/>
    <w:rsid w:val="00681807"/>
    <w:rsid w:val="0068320D"/>
    <w:rsid w:val="006851F9"/>
    <w:rsid w:val="00695A30"/>
    <w:rsid w:val="006C3AB8"/>
    <w:rsid w:val="006C4C31"/>
    <w:rsid w:val="006C5AD8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60A8C"/>
    <w:rsid w:val="007D2342"/>
    <w:rsid w:val="007D7B15"/>
    <w:rsid w:val="007E18DD"/>
    <w:rsid w:val="007E1AB2"/>
    <w:rsid w:val="007E3480"/>
    <w:rsid w:val="007E39F5"/>
    <w:rsid w:val="007F442D"/>
    <w:rsid w:val="008045FD"/>
    <w:rsid w:val="00804F0F"/>
    <w:rsid w:val="00807BC5"/>
    <w:rsid w:val="00810441"/>
    <w:rsid w:val="00815EA8"/>
    <w:rsid w:val="00822032"/>
    <w:rsid w:val="00834D44"/>
    <w:rsid w:val="00836E40"/>
    <w:rsid w:val="008463A9"/>
    <w:rsid w:val="00855D28"/>
    <w:rsid w:val="00861E52"/>
    <w:rsid w:val="008711F4"/>
    <w:rsid w:val="00874100"/>
    <w:rsid w:val="008954CA"/>
    <w:rsid w:val="008D1363"/>
    <w:rsid w:val="008D5704"/>
    <w:rsid w:val="008D671C"/>
    <w:rsid w:val="0091396F"/>
    <w:rsid w:val="00917F50"/>
    <w:rsid w:val="00920944"/>
    <w:rsid w:val="00923182"/>
    <w:rsid w:val="0092388E"/>
    <w:rsid w:val="00932368"/>
    <w:rsid w:val="009368B4"/>
    <w:rsid w:val="00951338"/>
    <w:rsid w:val="0096517E"/>
    <w:rsid w:val="00971470"/>
    <w:rsid w:val="00974752"/>
    <w:rsid w:val="0097576D"/>
    <w:rsid w:val="0098025D"/>
    <w:rsid w:val="00982730"/>
    <w:rsid w:val="009913C0"/>
    <w:rsid w:val="00993247"/>
    <w:rsid w:val="009A4EF2"/>
    <w:rsid w:val="009B619A"/>
    <w:rsid w:val="009B6E20"/>
    <w:rsid w:val="009C54DD"/>
    <w:rsid w:val="009E09E5"/>
    <w:rsid w:val="009E2BC6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431D2"/>
    <w:rsid w:val="00A536F3"/>
    <w:rsid w:val="00A5550A"/>
    <w:rsid w:val="00A60B5F"/>
    <w:rsid w:val="00A70842"/>
    <w:rsid w:val="00A725F6"/>
    <w:rsid w:val="00A968F4"/>
    <w:rsid w:val="00AA18B1"/>
    <w:rsid w:val="00AA2446"/>
    <w:rsid w:val="00AD2635"/>
    <w:rsid w:val="00AD641C"/>
    <w:rsid w:val="00AE043A"/>
    <w:rsid w:val="00AF19B5"/>
    <w:rsid w:val="00AF649D"/>
    <w:rsid w:val="00AF7A68"/>
    <w:rsid w:val="00B15EAF"/>
    <w:rsid w:val="00B16C93"/>
    <w:rsid w:val="00B20096"/>
    <w:rsid w:val="00B27209"/>
    <w:rsid w:val="00B37BEC"/>
    <w:rsid w:val="00B5101D"/>
    <w:rsid w:val="00B515E4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5A13"/>
    <w:rsid w:val="00BD7E9C"/>
    <w:rsid w:val="00BF46BC"/>
    <w:rsid w:val="00C072D5"/>
    <w:rsid w:val="00C15335"/>
    <w:rsid w:val="00C338C3"/>
    <w:rsid w:val="00C34612"/>
    <w:rsid w:val="00C42260"/>
    <w:rsid w:val="00C4292C"/>
    <w:rsid w:val="00C55304"/>
    <w:rsid w:val="00C6315E"/>
    <w:rsid w:val="00C766B9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6ACD"/>
    <w:rsid w:val="00CB6B07"/>
    <w:rsid w:val="00CC094D"/>
    <w:rsid w:val="00CD0732"/>
    <w:rsid w:val="00CE7003"/>
    <w:rsid w:val="00CF453F"/>
    <w:rsid w:val="00D114BF"/>
    <w:rsid w:val="00D163E5"/>
    <w:rsid w:val="00D17294"/>
    <w:rsid w:val="00D312D2"/>
    <w:rsid w:val="00D334DE"/>
    <w:rsid w:val="00D3528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A3760"/>
    <w:rsid w:val="00DA5158"/>
    <w:rsid w:val="00DB24F7"/>
    <w:rsid w:val="00DC12D9"/>
    <w:rsid w:val="00DC2AA4"/>
    <w:rsid w:val="00DC6307"/>
    <w:rsid w:val="00DE784C"/>
    <w:rsid w:val="00DF1810"/>
    <w:rsid w:val="00E136F5"/>
    <w:rsid w:val="00E31642"/>
    <w:rsid w:val="00E31EC6"/>
    <w:rsid w:val="00E40C66"/>
    <w:rsid w:val="00E764CF"/>
    <w:rsid w:val="00EA09A8"/>
    <w:rsid w:val="00EA1D0A"/>
    <w:rsid w:val="00EA358E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93BFC"/>
    <w:rsid w:val="00F95513"/>
    <w:rsid w:val="00F96AB4"/>
    <w:rsid w:val="00FA0855"/>
    <w:rsid w:val="00FA495B"/>
    <w:rsid w:val="00FB1E8F"/>
    <w:rsid w:val="00FC0087"/>
    <w:rsid w:val="00FC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C5AD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C5AD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C5AD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C5AD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C5AD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C5A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C5AD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C5AD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C5AD8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EA358E"/>
    <w:pPr>
      <w:spacing w:line="30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EA358E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91E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07B7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91E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3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EF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A085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6C5AD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C5AD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C5AD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C5AD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C5AD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C5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C5AD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C5AD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1857</Words>
  <Characters>10587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2015-10-08T02:34:00Z</cp:lastPrinted>
  <dcterms:created xsi:type="dcterms:W3CDTF">2015-10-28T07:35:00Z</dcterms:created>
  <dcterms:modified xsi:type="dcterms:W3CDTF">2015-10-30T01:44:00Z</dcterms:modified>
</cp:coreProperties>
</file>