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08" w:rsidRPr="00947842" w:rsidRDefault="00AF3B08" w:rsidP="00947842">
      <w:pPr>
        <w:jc w:val="right"/>
        <w:rPr>
          <w:b/>
          <w:bCs/>
          <w:kern w:val="28"/>
          <w:sz w:val="32"/>
          <w:szCs w:val="32"/>
        </w:rPr>
      </w:pPr>
      <w:r w:rsidRPr="00947842">
        <w:rPr>
          <w:b/>
          <w:bCs/>
          <w:kern w:val="28"/>
          <w:sz w:val="32"/>
          <w:szCs w:val="32"/>
        </w:rPr>
        <w:t>Приложение</w:t>
      </w:r>
    </w:p>
    <w:p w:rsidR="00AF3B08" w:rsidRPr="00947842" w:rsidRDefault="00AF3B08" w:rsidP="00947842">
      <w:pPr>
        <w:jc w:val="right"/>
        <w:rPr>
          <w:b/>
          <w:bCs/>
          <w:kern w:val="28"/>
          <w:sz w:val="32"/>
          <w:szCs w:val="32"/>
        </w:rPr>
      </w:pPr>
      <w:r w:rsidRPr="00947842">
        <w:rPr>
          <w:b/>
          <w:bCs/>
          <w:kern w:val="28"/>
          <w:sz w:val="32"/>
          <w:szCs w:val="32"/>
        </w:rPr>
        <w:t>к постановлению администрации</w:t>
      </w:r>
    </w:p>
    <w:p w:rsidR="00AF3B08" w:rsidRPr="00947842" w:rsidRDefault="00AF3B08" w:rsidP="00947842">
      <w:pPr>
        <w:jc w:val="right"/>
        <w:rPr>
          <w:b/>
          <w:bCs/>
          <w:kern w:val="28"/>
          <w:sz w:val="32"/>
          <w:szCs w:val="32"/>
        </w:rPr>
      </w:pPr>
      <w:r w:rsidRPr="00947842">
        <w:rPr>
          <w:b/>
          <w:bCs/>
          <w:kern w:val="28"/>
          <w:sz w:val="32"/>
          <w:szCs w:val="32"/>
        </w:rPr>
        <w:t>Крапивинского муниципального района</w:t>
      </w:r>
    </w:p>
    <w:p w:rsidR="00AF3B08" w:rsidRPr="00947842" w:rsidRDefault="00AF3B08" w:rsidP="00947842">
      <w:pPr>
        <w:jc w:val="right"/>
        <w:rPr>
          <w:b/>
          <w:bCs/>
          <w:kern w:val="28"/>
          <w:sz w:val="32"/>
          <w:szCs w:val="32"/>
        </w:rPr>
      </w:pPr>
      <w:r w:rsidRPr="00947842">
        <w:rPr>
          <w:b/>
          <w:bCs/>
          <w:kern w:val="28"/>
          <w:sz w:val="32"/>
          <w:szCs w:val="32"/>
        </w:rPr>
        <w:t>от 20.10.2015 г. №1095</w:t>
      </w:r>
    </w:p>
    <w:p w:rsidR="00AF3B08" w:rsidRPr="00947842" w:rsidRDefault="00AF3B08" w:rsidP="00947842"/>
    <w:p w:rsidR="00AF3B08" w:rsidRPr="00947842" w:rsidRDefault="00AF3B08" w:rsidP="00947842">
      <w:pPr>
        <w:jc w:val="center"/>
        <w:rPr>
          <w:b/>
          <w:bCs/>
          <w:kern w:val="32"/>
          <w:sz w:val="32"/>
          <w:szCs w:val="32"/>
        </w:rPr>
      </w:pPr>
      <w:r w:rsidRPr="00947842">
        <w:rPr>
          <w:b/>
          <w:bCs/>
          <w:kern w:val="32"/>
          <w:sz w:val="32"/>
          <w:szCs w:val="32"/>
        </w:rPr>
        <w:t>Муниципальная программа «Развитие здравоохранения Крапивинского муниципального района» на 2014 – 2018 годы</w:t>
      </w:r>
    </w:p>
    <w:p w:rsidR="00AF3B08" w:rsidRPr="00947842" w:rsidRDefault="00AF3B08" w:rsidP="00947842"/>
    <w:p w:rsidR="00AF3B08" w:rsidRPr="00947842" w:rsidRDefault="00AF3B08" w:rsidP="00947842">
      <w:pPr>
        <w:jc w:val="center"/>
        <w:rPr>
          <w:b/>
          <w:bCs/>
          <w:sz w:val="30"/>
          <w:szCs w:val="30"/>
        </w:rPr>
      </w:pPr>
      <w:r w:rsidRPr="00947842">
        <w:rPr>
          <w:b/>
          <w:bCs/>
          <w:sz w:val="30"/>
          <w:szCs w:val="30"/>
        </w:rPr>
        <w:t>ПАСПОРТ Муниципальной программы «Развитие здравоохранения Крапивинского муниципального района» на 2014 – 2018 годы</w:t>
      </w:r>
    </w:p>
    <w:p w:rsidR="00AF3B08" w:rsidRPr="00947842" w:rsidRDefault="00AF3B08" w:rsidP="00947842"/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28"/>
        <w:gridCol w:w="6243"/>
      </w:tblGrid>
      <w:tr w:rsidR="00AF3B08" w:rsidRPr="00947842">
        <w:tc>
          <w:tcPr>
            <w:tcW w:w="3240" w:type="dxa"/>
          </w:tcPr>
          <w:p w:rsidR="00AF3B08" w:rsidRPr="00947842" w:rsidRDefault="00AF3B08" w:rsidP="00947842">
            <w:pPr>
              <w:pStyle w:val="Table0"/>
            </w:pPr>
            <w:r w:rsidRPr="00947842">
              <w:t>Наименование муниципальной программы</w:t>
            </w:r>
          </w:p>
        </w:tc>
        <w:tc>
          <w:tcPr>
            <w:tcW w:w="6079" w:type="dxa"/>
          </w:tcPr>
          <w:p w:rsidR="00AF3B08" w:rsidRPr="00947842" w:rsidRDefault="00AF3B08" w:rsidP="00947842">
            <w:pPr>
              <w:pStyle w:val="Table0"/>
            </w:pPr>
            <w:r w:rsidRPr="00947842">
              <w:t>Муниципальная программа «Развитие здравоохранения Крапивинского муниципального района» на 2014 – 2018 годы (далее – муниципальная программа)</w:t>
            </w:r>
          </w:p>
        </w:tc>
      </w:tr>
      <w:tr w:rsidR="00AF3B08" w:rsidRPr="00947842">
        <w:tc>
          <w:tcPr>
            <w:tcW w:w="3240" w:type="dxa"/>
          </w:tcPr>
          <w:p w:rsidR="00AF3B08" w:rsidRPr="00947842" w:rsidRDefault="00AF3B08" w:rsidP="00947842">
            <w:pPr>
              <w:pStyle w:val="Table"/>
            </w:pPr>
            <w:r w:rsidRPr="00947842">
              <w:t>Директор муниципальной программы</w:t>
            </w:r>
          </w:p>
        </w:tc>
        <w:tc>
          <w:tcPr>
            <w:tcW w:w="6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Заместитель главы Крапивинского муниципального района З.В.</w:t>
            </w:r>
            <w:r>
              <w:t xml:space="preserve"> </w:t>
            </w:r>
            <w:r w:rsidRPr="00947842">
              <w:t>Остапенко</w:t>
            </w:r>
          </w:p>
        </w:tc>
      </w:tr>
      <w:tr w:rsidR="00AF3B08" w:rsidRPr="00947842">
        <w:tc>
          <w:tcPr>
            <w:tcW w:w="3240" w:type="dxa"/>
          </w:tcPr>
          <w:p w:rsidR="00AF3B08" w:rsidRPr="00947842" w:rsidRDefault="00AF3B08" w:rsidP="00947842">
            <w:pPr>
              <w:pStyle w:val="Table"/>
            </w:pPr>
            <w:r w:rsidRPr="00947842">
              <w:t>Ответственный исполнитель (координатор) муниципальной программы</w:t>
            </w:r>
          </w:p>
        </w:tc>
        <w:tc>
          <w:tcPr>
            <w:tcW w:w="6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МБУЗ «Крапивинская ЦРБ»</w:t>
            </w:r>
          </w:p>
        </w:tc>
      </w:tr>
      <w:tr w:rsidR="00AF3B08" w:rsidRPr="00947842">
        <w:tc>
          <w:tcPr>
            <w:tcW w:w="3240" w:type="dxa"/>
          </w:tcPr>
          <w:p w:rsidR="00AF3B08" w:rsidRPr="00947842" w:rsidRDefault="00AF3B08" w:rsidP="00947842">
            <w:pPr>
              <w:pStyle w:val="Table"/>
            </w:pPr>
            <w:r w:rsidRPr="00947842">
              <w:t>Исполнители муниципальной программы</w:t>
            </w:r>
          </w:p>
        </w:tc>
        <w:tc>
          <w:tcPr>
            <w:tcW w:w="6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МБУЗ «Крапивинская ЦРБ»</w:t>
            </w:r>
          </w:p>
        </w:tc>
      </w:tr>
      <w:tr w:rsidR="00AF3B08" w:rsidRPr="00947842">
        <w:trPr>
          <w:trHeight w:val="349"/>
        </w:trPr>
        <w:tc>
          <w:tcPr>
            <w:tcW w:w="3240" w:type="dxa"/>
          </w:tcPr>
          <w:p w:rsidR="00AF3B08" w:rsidRPr="00947842" w:rsidRDefault="00AF3B08" w:rsidP="00947842">
            <w:pPr>
              <w:pStyle w:val="Table"/>
            </w:pPr>
            <w:r w:rsidRPr="00947842">
              <w:t>Цели муниципальной программы</w:t>
            </w:r>
          </w:p>
        </w:tc>
        <w:tc>
          <w:tcPr>
            <w:tcW w:w="6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Совершенствование системы охраны здоровья граждан в целях профилактики заболеваний, сохранения и укрепления физического и психического развития каждого человека, поддержания его долголетней активной жизни, предоставления ему доступной и качественной медицинской помощи.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Повышение социальной защищенности населения.</w:t>
            </w:r>
          </w:p>
        </w:tc>
      </w:tr>
      <w:tr w:rsidR="00AF3B08" w:rsidRPr="00947842">
        <w:trPr>
          <w:trHeight w:val="1435"/>
        </w:trPr>
        <w:tc>
          <w:tcPr>
            <w:tcW w:w="3240" w:type="dxa"/>
          </w:tcPr>
          <w:p w:rsidR="00AF3B08" w:rsidRPr="00947842" w:rsidRDefault="00AF3B08" w:rsidP="00947842">
            <w:pPr>
              <w:pStyle w:val="Table"/>
            </w:pPr>
            <w:r w:rsidRPr="00947842">
              <w:t>Задачи муниципальной программы</w:t>
            </w:r>
          </w:p>
        </w:tc>
        <w:tc>
          <w:tcPr>
            <w:tcW w:w="6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Обеспечение приоритета профилактики в сфере охраны здоровья, развития первичной медико-санитарной помощи. Реализация дифференцированного подхода к профилактическим осмотрам и диспансеризаци</w:t>
            </w:r>
            <w:r>
              <w:t>и населения, в том числе детей.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Обеспечение мер социальной поддержки отдельных категорий населения.</w:t>
            </w:r>
          </w:p>
        </w:tc>
      </w:tr>
      <w:tr w:rsidR="00AF3B08" w:rsidRPr="00947842">
        <w:tc>
          <w:tcPr>
            <w:tcW w:w="3240" w:type="dxa"/>
          </w:tcPr>
          <w:p w:rsidR="00AF3B08" w:rsidRPr="00947842" w:rsidRDefault="00AF3B08" w:rsidP="00947842">
            <w:pPr>
              <w:pStyle w:val="Table"/>
            </w:pPr>
            <w:r w:rsidRPr="00947842">
              <w:t>Срок реализации муниципальной программы</w:t>
            </w:r>
          </w:p>
        </w:tc>
        <w:tc>
          <w:tcPr>
            <w:tcW w:w="6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2014</w:t>
            </w:r>
            <w:r>
              <w:t xml:space="preserve"> </w:t>
            </w:r>
            <w:r w:rsidRPr="00947842">
              <w:t>– 2018 годы</w:t>
            </w:r>
          </w:p>
        </w:tc>
      </w:tr>
      <w:tr w:rsidR="00AF3B08" w:rsidRPr="00947842">
        <w:trPr>
          <w:trHeight w:val="1014"/>
        </w:trPr>
        <w:tc>
          <w:tcPr>
            <w:tcW w:w="3240" w:type="dxa"/>
          </w:tcPr>
          <w:p w:rsidR="00AF3B08" w:rsidRPr="00947842" w:rsidRDefault="00AF3B08" w:rsidP="00947842">
            <w:pPr>
              <w:pStyle w:val="Table"/>
            </w:pPr>
            <w:r w:rsidRPr="00947842"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079" w:type="dxa"/>
          </w:tcPr>
          <w:p w:rsidR="00AF3B08" w:rsidRPr="00947842" w:rsidRDefault="00AF3B08" w:rsidP="00947842">
            <w:pPr>
              <w:pStyle w:val="Table"/>
            </w:pPr>
            <w:r w:rsidRPr="00947842">
              <w:t xml:space="preserve">Объем </w:t>
            </w:r>
            <w:r>
              <w:t xml:space="preserve">средств на реализацию </w:t>
            </w:r>
            <w:r w:rsidRPr="00947842">
              <w:t>Муниципальной программы</w:t>
            </w:r>
            <w:r>
              <w:t xml:space="preserve"> </w:t>
            </w:r>
            <w:r w:rsidRPr="00947842">
              <w:t>103 204,0 тыс. рублей, в том числе по годам: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2014 год – 13 923,0 тыс. рублей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2015 год – 22 312,0 тыс. рублей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2016 год – 22 323,0 тыс. рублей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2017 год – 22 323,0 тыс. рублей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2018 год – 22 323,0 тыс. рублей</w:t>
            </w:r>
          </w:p>
          <w:p w:rsidR="00AF3B08" w:rsidRDefault="00AF3B08" w:rsidP="00947842">
            <w:pPr>
              <w:pStyle w:val="Table"/>
            </w:pPr>
            <w:r w:rsidRPr="00947842">
              <w:t>из них:</w:t>
            </w:r>
          </w:p>
          <w:p w:rsidR="00AF3B08" w:rsidRPr="00947842" w:rsidRDefault="00AF3B08" w:rsidP="00126385">
            <w:pPr>
              <w:pStyle w:val="Table"/>
            </w:pPr>
            <w:r w:rsidRPr="00947842">
              <w:t>- средства местного бюджета 42,0 тыс. рублей, в том числе по годам:</w:t>
            </w:r>
          </w:p>
          <w:p w:rsidR="00AF3B08" w:rsidRPr="00947842" w:rsidRDefault="00AF3B08" w:rsidP="00126385">
            <w:pPr>
              <w:pStyle w:val="Table"/>
            </w:pPr>
            <w:r>
              <w:t xml:space="preserve">2014 год </w:t>
            </w:r>
            <w:r w:rsidRPr="00947842">
              <w:t>– 12 тыс. рублей</w:t>
            </w:r>
          </w:p>
          <w:p w:rsidR="00AF3B08" w:rsidRPr="00947842" w:rsidRDefault="00AF3B08" w:rsidP="00126385">
            <w:pPr>
              <w:pStyle w:val="Table"/>
            </w:pPr>
            <w:r w:rsidRPr="00947842">
              <w:t>2015 год – 12 тыс. рублей</w:t>
            </w:r>
          </w:p>
          <w:p w:rsidR="00AF3B08" w:rsidRPr="00947842" w:rsidRDefault="00AF3B08" w:rsidP="00126385">
            <w:pPr>
              <w:pStyle w:val="Table"/>
            </w:pPr>
            <w:r w:rsidRPr="00947842">
              <w:t>2016 год – 6 тыс. рублей</w:t>
            </w:r>
          </w:p>
          <w:p w:rsidR="00AF3B08" w:rsidRPr="00947842" w:rsidRDefault="00AF3B08" w:rsidP="00126385">
            <w:pPr>
              <w:pStyle w:val="Table"/>
            </w:pPr>
            <w:r w:rsidRPr="00947842">
              <w:t>2017 год – 6 тыс. рублей</w:t>
            </w:r>
          </w:p>
          <w:p w:rsidR="00AF3B08" w:rsidRPr="00947842" w:rsidRDefault="00AF3B08" w:rsidP="00126385">
            <w:pPr>
              <w:pStyle w:val="Table"/>
            </w:pPr>
            <w:r w:rsidRPr="00947842">
              <w:t>2018 год – 6 тыс. рублей</w:t>
            </w:r>
          </w:p>
          <w:p w:rsidR="00AF3B08" w:rsidRDefault="00AF3B08" w:rsidP="00947842">
            <w:pPr>
              <w:pStyle w:val="Table"/>
            </w:pPr>
            <w:r>
              <w:t>Иные не запрещенные законодательством источники:</w:t>
            </w:r>
          </w:p>
          <w:p w:rsidR="00AF3B08" w:rsidRDefault="00AF3B08" w:rsidP="00947842">
            <w:pPr>
              <w:pStyle w:val="Table"/>
            </w:pPr>
            <w:r>
              <w:t>из них: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- средства областного бюджета 51428,1 тыс. рублей, в том числе по годам: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2014 год –</w:t>
            </w:r>
            <w:r>
              <w:t xml:space="preserve"> </w:t>
            </w:r>
            <w:r w:rsidRPr="00947842">
              <w:t>8177,1 тыс. рублей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2015 год –</w:t>
            </w:r>
            <w:r>
              <w:t xml:space="preserve"> </w:t>
            </w:r>
            <w:r w:rsidRPr="00947842">
              <w:t>10 800,0 тыс. рублей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2016 год –</w:t>
            </w:r>
            <w:r>
              <w:t xml:space="preserve"> </w:t>
            </w:r>
            <w:r w:rsidRPr="00947842">
              <w:t>10 817,0 тыс. рублей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2017 год – 10 817,0 тыс. рублей</w:t>
            </w:r>
          </w:p>
          <w:p w:rsidR="00AF3B08" w:rsidRDefault="00AF3B08" w:rsidP="00947842">
            <w:pPr>
              <w:pStyle w:val="Table"/>
            </w:pPr>
            <w:r>
              <w:t xml:space="preserve">2018 год – 10 </w:t>
            </w:r>
            <w:r w:rsidRPr="00947842">
              <w:t>817,0 тыс. рублей</w:t>
            </w:r>
          </w:p>
          <w:p w:rsidR="00AF3B08" w:rsidRPr="00947842" w:rsidRDefault="00AF3B08" w:rsidP="00947842">
            <w:pPr>
              <w:pStyle w:val="Table"/>
            </w:pPr>
            <w:r>
              <w:t>ё</w:t>
            </w:r>
            <w:r w:rsidRPr="00947842">
              <w:t>- средства юридических и физических лиц 51 733,9 тыс. рублей, в том числе по годам: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2014 год –</w:t>
            </w:r>
            <w:r>
              <w:t xml:space="preserve"> </w:t>
            </w:r>
            <w:r w:rsidRPr="00947842">
              <w:t>5 733,9 тыс. рублей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2015 год –</w:t>
            </w:r>
            <w:r>
              <w:t xml:space="preserve"> </w:t>
            </w:r>
            <w:r w:rsidRPr="00947842">
              <w:t>11 500,0 тыс. рублей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2016 год –</w:t>
            </w:r>
            <w:r>
              <w:t xml:space="preserve"> </w:t>
            </w:r>
            <w:r w:rsidRPr="00947842">
              <w:t>11 500,0 тыс. рублей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2017 год</w:t>
            </w:r>
            <w:r>
              <w:t xml:space="preserve"> </w:t>
            </w:r>
            <w:r w:rsidRPr="00947842">
              <w:t>– 11 500,0 тыс. рублей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2018 год – 11 500,0 тыс. рублей</w:t>
            </w:r>
          </w:p>
        </w:tc>
      </w:tr>
      <w:tr w:rsidR="00AF3B08" w:rsidRPr="00947842">
        <w:tc>
          <w:tcPr>
            <w:tcW w:w="3240" w:type="dxa"/>
          </w:tcPr>
          <w:p w:rsidR="00AF3B08" w:rsidRPr="00947842" w:rsidRDefault="00AF3B08" w:rsidP="00947842">
            <w:pPr>
              <w:pStyle w:val="Table"/>
            </w:pPr>
            <w:r w:rsidRPr="00947842"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К 2018 году планируется достижение следующих значений целевых показателей (индикаторов):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1. соотношение средней заработной платы врачей и иных работников медицинских организаций, имеющих высшее медицинское (фармацевтическое) или иное высшее профессиональное образование, предоставляющих медицинские услуги (обеспечивающих предоставление медицинских услуг), и средней заработной платы в Кемеровской области – 200%;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2. смертность от всех причин на 1000 населения – 12;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3. материнская смертность на 100 тыс. родившихся живыми – 0;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4. смертность детей в возрасте 0-17 лет на 100 тыс. населения соответствующего возраста – 100.</w:t>
            </w:r>
          </w:p>
        </w:tc>
      </w:tr>
    </w:tbl>
    <w:p w:rsidR="00AF3B08" w:rsidRPr="00947842" w:rsidRDefault="00AF3B08" w:rsidP="00947842"/>
    <w:p w:rsidR="00AF3B08" w:rsidRPr="00947842" w:rsidRDefault="00AF3B08" w:rsidP="00947842">
      <w:pPr>
        <w:jc w:val="center"/>
        <w:rPr>
          <w:b/>
          <w:bCs/>
          <w:sz w:val="30"/>
          <w:szCs w:val="30"/>
        </w:rPr>
      </w:pPr>
      <w:r w:rsidRPr="00947842">
        <w:rPr>
          <w:b/>
          <w:bCs/>
          <w:sz w:val="30"/>
          <w:szCs w:val="30"/>
        </w:rPr>
        <w:t>1. Характеристика текущего состояния в Крапивинском муниципальном районе сферы деятельности, для решения задач которой разработана муниципальная программа, с указанием основных показателей и формулировкой основных проблем</w:t>
      </w:r>
    </w:p>
    <w:p w:rsidR="00AF3B08" w:rsidRPr="00947842" w:rsidRDefault="00AF3B08" w:rsidP="00947842"/>
    <w:p w:rsidR="00AF3B08" w:rsidRPr="00947842" w:rsidRDefault="00AF3B08" w:rsidP="00947842">
      <w:r w:rsidRPr="00947842">
        <w:t>Структура муниципального бюджетного учреждения здравоохранения «Крапивинская центральная районная больница» представлена:</w:t>
      </w:r>
    </w:p>
    <w:p w:rsidR="00AF3B08" w:rsidRPr="00947842" w:rsidRDefault="00AF3B08" w:rsidP="00947842">
      <w:r>
        <w:t xml:space="preserve">1. </w:t>
      </w:r>
      <w:r w:rsidRPr="00947842">
        <w:t>стационар – 85 коек;</w:t>
      </w:r>
    </w:p>
    <w:p w:rsidR="00AF3B08" w:rsidRPr="00947842" w:rsidRDefault="00AF3B08" w:rsidP="00947842">
      <w:r>
        <w:t xml:space="preserve">2. </w:t>
      </w:r>
      <w:r w:rsidRPr="00947842">
        <w:t>поликлиники, входящие в состав больничной организации – 2 (Зеленогорская и Крапивинская поликлиники);</w:t>
      </w:r>
    </w:p>
    <w:p w:rsidR="00AF3B08" w:rsidRPr="00947842" w:rsidRDefault="00AF3B08" w:rsidP="00947842">
      <w:r>
        <w:t xml:space="preserve">3. </w:t>
      </w:r>
      <w:r w:rsidRPr="00947842">
        <w:t>дневной стационар – 39 коек;</w:t>
      </w:r>
    </w:p>
    <w:p w:rsidR="00AF3B08" w:rsidRPr="00947842" w:rsidRDefault="00AF3B08" w:rsidP="00947842">
      <w:r>
        <w:t xml:space="preserve">4. </w:t>
      </w:r>
      <w:r w:rsidRPr="00947842">
        <w:t>общие врачебные практики, входящие в состав больничной организации – 1 (Тараданово);</w:t>
      </w:r>
    </w:p>
    <w:p w:rsidR="00AF3B08" w:rsidRPr="00947842" w:rsidRDefault="00AF3B08" w:rsidP="00947842">
      <w:r>
        <w:t xml:space="preserve">5. </w:t>
      </w:r>
      <w:r w:rsidRPr="00947842">
        <w:t>врачебные амбулатории с кабинетом врача общей врачебной практики – 4 (Шевели, Барачаты, Борисово, Каменка)</w:t>
      </w:r>
    </w:p>
    <w:p w:rsidR="00AF3B08" w:rsidRPr="00947842" w:rsidRDefault="00AF3B08" w:rsidP="00947842">
      <w:r>
        <w:t xml:space="preserve">6. </w:t>
      </w:r>
      <w:r w:rsidRPr="00947842">
        <w:t>фельдшерско-акушерские пункты - 18.</w:t>
      </w:r>
    </w:p>
    <w:p w:rsidR="00AF3B08" w:rsidRPr="00947842" w:rsidRDefault="00AF3B08" w:rsidP="00947842">
      <w:r w:rsidRPr="00947842">
        <w:t>Организованы 5 "домовых хозяйств" первичной помощи в населенных пунктах с малой численностью населения (менее 100 человек).</w:t>
      </w:r>
    </w:p>
    <w:p w:rsidR="00AF3B08" w:rsidRPr="00947842" w:rsidRDefault="00AF3B08" w:rsidP="00947842">
      <w:r w:rsidRPr="00947842">
        <w:t>В 2011 - 2012 годах значительно улучшилась материально-техническая база учреждения.</w:t>
      </w:r>
    </w:p>
    <w:p w:rsidR="00AF3B08" w:rsidRPr="00947842" w:rsidRDefault="00AF3B08" w:rsidP="00947842">
      <w:r w:rsidRPr="00947842">
        <w:t>В рамках программы модернизации 2011 – 2012гг. проведены капитальные ремонты в 2 поликлиниках, 1 врачебной амбулатории, 10 ФАПах, родильном отделении стационара, налажена централизованная подача кислорода в здание стационара.</w:t>
      </w:r>
      <w:r>
        <w:t xml:space="preserve"> </w:t>
      </w:r>
      <w:r w:rsidRPr="00947842">
        <w:t xml:space="preserve">На эти цели направлено 34,9 процентов средств, выделенных на модернизацию. </w:t>
      </w:r>
    </w:p>
    <w:p w:rsidR="00AF3B08" w:rsidRPr="00947842" w:rsidRDefault="00AF3B08" w:rsidP="00947842">
      <w:r w:rsidRPr="00947842">
        <w:t>По программе модернизации приобретен 1 передвижной ФАП, его стоимость 3 млн. рублей. Комплекс оборудован аппаратами УЗИ, ЭКГ, диагностическими наборами для отоларинголога, офтальмолога; гинекологическим креслом, детскими и взрослыми весами. Передвижной ФАП оснащен собственной электростанцией, обогревателем, кондиционером.</w:t>
      </w:r>
      <w:r>
        <w:t xml:space="preserve"> </w:t>
      </w:r>
      <w:r w:rsidRPr="00947842">
        <w:t>Также приобретено 2 автомобиля класса В, аппарат ИВЛ, анализатор КЩС, маммограф, мобильный видеоэндоскопический комплекс, 2 электрокардиографа, датчик к ультразвуковому сканеру. Всего на приобретение медицинского оборудования израсходовано 19,3 процентов средств, выделенных на модернизацию.</w:t>
      </w:r>
    </w:p>
    <w:p w:rsidR="00AF3B08" w:rsidRPr="00947842" w:rsidRDefault="00AF3B08" w:rsidP="00947842">
      <w:r w:rsidRPr="00947842">
        <w:t>Также по программе модернизация была доставлена и установлена новая компьютерная техника на сумму свыше 4 млн. рублей (7,2%).</w:t>
      </w:r>
    </w:p>
    <w:p w:rsidR="00AF3B08" w:rsidRPr="00947842" w:rsidRDefault="00AF3B08" w:rsidP="00947842">
      <w:r w:rsidRPr="00947842">
        <w:t>Для замены аварийных и ветхих ФАП приобретено 2 модульных ФАП: Перехляйский и Банновский.</w:t>
      </w:r>
    </w:p>
    <w:p w:rsidR="00AF3B08" w:rsidRPr="00947842" w:rsidRDefault="00AF3B08" w:rsidP="00947842">
      <w:r w:rsidRPr="00947842">
        <w:t>В рамках региональной адресной программы "Формирование здорового образа жизни населения и комплексная профилактика неинфекционных заболеваний в Кемеровской области" на 2013 - 2017 годы в 2014 году проведена диспансеризация населения определенных возрастных групп, в количестве 2 197 человек сельских жителей (100 процентов от числа подлежащих).</w:t>
      </w:r>
    </w:p>
    <w:p w:rsidR="00AF3B08" w:rsidRPr="00947842" w:rsidRDefault="00AF3B08" w:rsidP="00947842">
      <w:r w:rsidRPr="00947842">
        <w:t>В медицинской организации организовано 2 кабинета неотложной медицинской помощи, работающие во взаимодействии с диспетчерской службой скорой медицинской помощи Крапивинской территории.</w:t>
      </w:r>
    </w:p>
    <w:p w:rsidR="00AF3B08" w:rsidRPr="00947842" w:rsidRDefault="00AF3B08" w:rsidP="00947842">
      <w:r w:rsidRPr="00947842">
        <w:t xml:space="preserve">Постоянно совершенствуются выездные формы работы. В 2014 году областными специалистами на выездах оказана консультативная помощь 2 874 сельским жителям. </w:t>
      </w:r>
    </w:p>
    <w:p w:rsidR="00AF3B08" w:rsidRPr="00947842" w:rsidRDefault="00AF3B08" w:rsidP="00947842">
      <w:r w:rsidRPr="00947842">
        <w:t>В районе наблюдается дефицит медицинских кадров. За 2014 год</w:t>
      </w:r>
      <w:r>
        <w:t xml:space="preserve"> </w:t>
      </w:r>
      <w:r w:rsidRPr="00947842">
        <w:t>на работу принято 6 врачей, обеспеченность медицинской организации врачами составила 21,7 на 10,0 тыс. населения (52 человека). Пять молодых специалистов – врачей получили единовременную выплату по программе «Земский доктор» в размере 1 млн. руб. В 2014 году принято 17 средних медицинских работников, обеспеченность средним медицинским персоналом – 66,4 на 10,0 тыс. населения (159 человека).</w:t>
      </w:r>
    </w:p>
    <w:p w:rsidR="00AF3B08" w:rsidRPr="00947842" w:rsidRDefault="00AF3B08" w:rsidP="00947842">
      <w:r w:rsidRPr="00947842">
        <w:t>Привлечению и закреплению медицинских кадров в медицинских организациях будет способствовать поэтапное повышение их заработной платы. Уже в 2014 году соотношение средней заработной платы медицинских работников и средней заработной платы в Кемеровской области составила: у врачей – 138% (36 947 руб.)</w:t>
      </w:r>
      <w:r>
        <w:t xml:space="preserve"> </w:t>
      </w:r>
      <w:r w:rsidRPr="00947842">
        <w:t>при плане 134,3%; у среднего медицинского персонала – 77% (20 630 руб.) при плане 74,3%; младшего медицинского персонала – 46%</w:t>
      </w:r>
      <w:r>
        <w:t xml:space="preserve"> </w:t>
      </w:r>
      <w:r w:rsidRPr="00947842">
        <w:t>(12,388 руб.) при плане 45,3%.</w:t>
      </w:r>
    </w:p>
    <w:p w:rsidR="00AF3B08" w:rsidRPr="00947842" w:rsidRDefault="00AF3B08" w:rsidP="00947842">
      <w:r w:rsidRPr="00947842">
        <w:t>В 2018 году соотношение средней заработной платы медицинских работников и средней заработной платы по области достигнет целевого значения - 200 процентов у врачей; 100 процентов - у среднего и младшего медицинского персонала.</w:t>
      </w:r>
    </w:p>
    <w:p w:rsidR="00AF3B08" w:rsidRPr="00947842" w:rsidRDefault="00AF3B08" w:rsidP="00947842">
      <w:r w:rsidRPr="00947842">
        <w:t>Для улучшения оказания медицинской помощи пострадавшим в ДТП в отделение СМП приобретен новый дефибриллятор ДКИ на сумму 73 352,56 руб. в 2014 году, а также иммобилизационные матрацы для перевозки больных с политтравмой. Соблюдается принцип «золотого часа» при оказании скорой помощи пострадавшим в ДТП, уменьшение времени доезда до больного до 20 минут, не менее, чем в 79% случаев.</w:t>
      </w:r>
    </w:p>
    <w:p w:rsidR="00AF3B08" w:rsidRPr="00947842" w:rsidRDefault="00AF3B08" w:rsidP="00947842">
      <w:r w:rsidRPr="00947842">
        <w:t>Показатель рождаемости в 2014г. составил 14,5 на 1000 населения. Показатель смертности составил 16,5, таким образом, в районе наблюдается естественная убыль населения</w:t>
      </w:r>
      <w:r>
        <w:t xml:space="preserve"> </w:t>
      </w:r>
      <w:r w:rsidRPr="00947842">
        <w:t>2,3 на 1000 - или 54 человека.</w:t>
      </w:r>
      <w:r>
        <w:t xml:space="preserve"> </w:t>
      </w:r>
    </w:p>
    <w:p w:rsidR="00AF3B08" w:rsidRPr="00947842" w:rsidRDefault="00AF3B08" w:rsidP="00947842">
      <w:r w:rsidRPr="00947842">
        <w:t>Показатель младенческой смертности</w:t>
      </w:r>
      <w:r>
        <w:t xml:space="preserve"> </w:t>
      </w:r>
      <w:r w:rsidRPr="00947842">
        <w:t>за 2014 год – 2,9 на 1000 родившихся живыми. Абсолютное число умерших – 1 чел. В 2014 году случаев материнской смертности в районе не зарегистрировано.</w:t>
      </w:r>
    </w:p>
    <w:p w:rsidR="00AF3B08" w:rsidRPr="00947842" w:rsidRDefault="00AF3B08" w:rsidP="00947842">
      <w:r w:rsidRPr="00947842">
        <w:t>Для снижения младенческой и материнской смертности в районе проводятся следующие мероприятия:</w:t>
      </w:r>
    </w:p>
    <w:p w:rsidR="00AF3B08" w:rsidRPr="00947842" w:rsidRDefault="00AF3B08" w:rsidP="00947842">
      <w:r>
        <w:t xml:space="preserve">- </w:t>
      </w:r>
      <w:r w:rsidRPr="00947842">
        <w:t>100% охват беременных женщин перинатальным скринингом</w:t>
      </w:r>
    </w:p>
    <w:p w:rsidR="00AF3B08" w:rsidRPr="00947842" w:rsidRDefault="00AF3B08" w:rsidP="00947842">
      <w:r>
        <w:t xml:space="preserve">- </w:t>
      </w:r>
      <w:r w:rsidRPr="00947842">
        <w:t>Проведение мероприятий по предупреждению беременности у женщин из групп социального риска</w:t>
      </w:r>
    </w:p>
    <w:p w:rsidR="00AF3B08" w:rsidRPr="00947842" w:rsidRDefault="00AF3B08" w:rsidP="00947842">
      <w:r>
        <w:t xml:space="preserve">- </w:t>
      </w:r>
      <w:r w:rsidRPr="00947842">
        <w:t>Своевременная транспортировка беременных с угрозой преждевременных родов в перинатальный центр г. Кемерово</w:t>
      </w:r>
    </w:p>
    <w:p w:rsidR="00AF3B08" w:rsidRPr="00947842" w:rsidRDefault="00AF3B08" w:rsidP="00947842">
      <w:r>
        <w:t xml:space="preserve">- </w:t>
      </w:r>
      <w:r w:rsidRPr="00947842">
        <w:t>100% диспансеризация детей первого года жизни</w:t>
      </w:r>
    </w:p>
    <w:p w:rsidR="00AF3B08" w:rsidRPr="00947842" w:rsidRDefault="00AF3B08" w:rsidP="00947842">
      <w:r>
        <w:t xml:space="preserve">- </w:t>
      </w:r>
      <w:r w:rsidRPr="00947842">
        <w:t>100% проведение для всех новорожденных неонатального и аудиологического скрининга</w:t>
      </w:r>
    </w:p>
    <w:p w:rsidR="00AF3B08" w:rsidRPr="00947842" w:rsidRDefault="00AF3B08" w:rsidP="00947842">
      <w:r>
        <w:t xml:space="preserve">- </w:t>
      </w:r>
      <w:r w:rsidRPr="00947842">
        <w:t>100% выполнение плана по диспансеризации декретированных групп</w:t>
      </w:r>
    </w:p>
    <w:p w:rsidR="00AF3B08" w:rsidRPr="00947842" w:rsidRDefault="00AF3B08" w:rsidP="00947842">
      <w:r>
        <w:t xml:space="preserve">- </w:t>
      </w:r>
      <w:r w:rsidRPr="00947842">
        <w:t xml:space="preserve">Усиление первичного звена. </w:t>
      </w:r>
    </w:p>
    <w:p w:rsidR="00AF3B08" w:rsidRPr="00947842" w:rsidRDefault="00AF3B08" w:rsidP="00947842">
      <w:r w:rsidRPr="00947842">
        <w:t>Заболеваемость туберкулезом в 2014 г. в группе взрослого населения снизилась на 53%. Рост заболеваемости связан с увеличением ФЛГ – осмотров на 26%.</w:t>
      </w:r>
    </w:p>
    <w:p w:rsidR="00AF3B08" w:rsidRPr="00947842" w:rsidRDefault="00AF3B08" w:rsidP="00947842">
      <w:r w:rsidRPr="00947842">
        <w:t>Для снижения заболеваемости туберкулезом проводятся:</w:t>
      </w:r>
    </w:p>
    <w:p w:rsidR="00AF3B08" w:rsidRPr="00947842" w:rsidRDefault="00AF3B08" w:rsidP="00947842">
      <w:r>
        <w:t xml:space="preserve">1. </w:t>
      </w:r>
      <w:r w:rsidRPr="00947842">
        <w:t>мероприятия по санитарно- гигиеническому воспитанию среди населения через средства массовой информации.</w:t>
      </w:r>
    </w:p>
    <w:p w:rsidR="00AF3B08" w:rsidRPr="00947842" w:rsidRDefault="00AF3B08" w:rsidP="00947842">
      <w:r>
        <w:t xml:space="preserve">2. </w:t>
      </w:r>
      <w:r w:rsidRPr="00947842">
        <w:t>Достижение охвата госпитализацией бактериовыделителей в 100% случаев.</w:t>
      </w:r>
    </w:p>
    <w:p w:rsidR="00AF3B08" w:rsidRPr="00947842" w:rsidRDefault="00AF3B08" w:rsidP="00947842">
      <w:r>
        <w:t xml:space="preserve">3. </w:t>
      </w:r>
      <w:r w:rsidRPr="00947842">
        <w:t>Проведение семинаров, конференций с врачами общей лечебной сети ЦРБ по раннему выявлению туберкулеза.</w:t>
      </w:r>
    </w:p>
    <w:p w:rsidR="00AF3B08" w:rsidRPr="00947842" w:rsidRDefault="00AF3B08" w:rsidP="00947842">
      <w:r>
        <w:t xml:space="preserve">4. </w:t>
      </w:r>
      <w:r w:rsidRPr="00947842">
        <w:t>Повышение охвата неорганизованного населения флюорографическими осмотрами.</w:t>
      </w:r>
    </w:p>
    <w:p w:rsidR="00AF3B08" w:rsidRPr="00947842" w:rsidRDefault="00AF3B08" w:rsidP="00947842">
      <w:r w:rsidRPr="00947842">
        <w:t>Уровень заболеваемости ВИЧ-инфекцией</w:t>
      </w:r>
      <w:r>
        <w:t xml:space="preserve"> </w:t>
      </w:r>
      <w:r w:rsidRPr="00947842">
        <w:t>вырос</w:t>
      </w:r>
      <w:r>
        <w:t xml:space="preserve"> </w:t>
      </w:r>
      <w:r w:rsidRPr="00947842">
        <w:t>на 31%. Первичная заболеваемость по ВИЧ выросла на 33% по сравнению с 2013г. Смертность от ВИЧ составила 12,5% на 100 тыс. населения Обследования по показаниям (скрининг) вырос на 14%.</w:t>
      </w:r>
    </w:p>
    <w:p w:rsidR="00AF3B08" w:rsidRPr="00947842" w:rsidRDefault="00AF3B08" w:rsidP="00947842">
      <w:r w:rsidRPr="00947842">
        <w:t>За 2014</w:t>
      </w:r>
      <w:r>
        <w:t xml:space="preserve"> </w:t>
      </w:r>
      <w:r w:rsidRPr="00947842">
        <w:t>г. общее количество льготных категорий граждан в районе составило 4 356 человека, пользуются льготой – 1 000 человек</w:t>
      </w:r>
    </w:p>
    <w:p w:rsidR="00AF3B08" w:rsidRPr="00947842" w:rsidRDefault="00AF3B08" w:rsidP="00947842">
      <w:r w:rsidRPr="00947842">
        <w:t>Затрачено средств на лекарственное обеспечение:</w:t>
      </w:r>
    </w:p>
    <w:p w:rsidR="00AF3B08" w:rsidRPr="00947842" w:rsidRDefault="00AF3B08" w:rsidP="00947842">
      <w:r w:rsidRPr="00947842">
        <w:t>Из областного бюджета</w:t>
      </w:r>
      <w:r>
        <w:t xml:space="preserve"> - 1 100 тыс. руб.</w:t>
      </w:r>
    </w:p>
    <w:p w:rsidR="00AF3B08" w:rsidRPr="00947842" w:rsidRDefault="00AF3B08" w:rsidP="00947842">
      <w:r w:rsidRPr="00947842">
        <w:t>Из федерального бюджета – 4 061 тыс. руб.</w:t>
      </w:r>
    </w:p>
    <w:p w:rsidR="00AF3B08" w:rsidRPr="00947842" w:rsidRDefault="00AF3B08" w:rsidP="00947842">
      <w:r w:rsidRPr="00947842">
        <w:t>Общее количество выписанных рецептов составило 10 844.</w:t>
      </w:r>
    </w:p>
    <w:p w:rsidR="00AF3B08" w:rsidRPr="00947842" w:rsidRDefault="00AF3B08" w:rsidP="00947842">
      <w:r w:rsidRPr="00947842">
        <w:t>Благодаря расширению лицензии на медицинскую деятельность за последние 2 года ЦРБ смогла обеспечить выполнение плана диспансеризации собственными силами. По итогам года отмечается выполнение и перевыполнение плана практически по всем показателям: в частности, диспансеризация отдельных групп взрослого населения</w:t>
      </w:r>
      <w:r>
        <w:t xml:space="preserve"> </w:t>
      </w:r>
      <w:r w:rsidRPr="00947842">
        <w:t>выполнена на 100,3%, несовершеннолетних – 107,6%, а детей-сирот</w:t>
      </w:r>
      <w:r>
        <w:t xml:space="preserve"> </w:t>
      </w:r>
      <w:r w:rsidRPr="00947842">
        <w:t>- 102,6%.</w:t>
      </w:r>
    </w:p>
    <w:p w:rsidR="00AF3B08" w:rsidRPr="00947842" w:rsidRDefault="00AF3B08" w:rsidP="00947842">
      <w:r w:rsidRPr="00947842">
        <w:t>Для улучшения доступности в ЦРБ проводятся следующие мероприятия:</w:t>
      </w:r>
    </w:p>
    <w:p w:rsidR="00AF3B08" w:rsidRPr="00947842" w:rsidRDefault="00AF3B08" w:rsidP="00947842">
      <w:r w:rsidRPr="00947842">
        <w:t xml:space="preserve"> - организована запись к специалистам поликлиник по телефонам, через Интернет-портал, сайт ЦРБ и инфоматы. </w:t>
      </w:r>
    </w:p>
    <w:p w:rsidR="00AF3B08" w:rsidRPr="00947842" w:rsidRDefault="00AF3B08" w:rsidP="00947842">
      <w:r w:rsidRPr="00947842">
        <w:t xml:space="preserve"> - установлено программное обеспечение приёма вызовов ОСМП. </w:t>
      </w:r>
    </w:p>
    <w:p w:rsidR="00AF3B08" w:rsidRPr="00947842" w:rsidRDefault="00AF3B08" w:rsidP="00947842">
      <w:r w:rsidRPr="00947842">
        <w:t xml:space="preserve"> - функционирует единая служба приема сельских вызывов;</w:t>
      </w:r>
    </w:p>
    <w:p w:rsidR="00AF3B08" w:rsidRPr="00947842" w:rsidRDefault="00AF3B08" w:rsidP="00947842">
      <w:r w:rsidRPr="00947842">
        <w:t xml:space="preserve"> - во всех подразделениях ЦРБ размещены информационные стенды об условиях оказания медицинской помощи,</w:t>
      </w:r>
    </w:p>
    <w:p w:rsidR="00AF3B08" w:rsidRPr="00947842" w:rsidRDefault="00AF3B08" w:rsidP="00947842">
      <w:r w:rsidRPr="00947842">
        <w:t xml:space="preserve"> - введение системы видеонаблюдения в лечебном учреждении привело к отсутствию жалоб на грубость и непрофессионализм врачей, укреплению</w:t>
      </w:r>
      <w:r>
        <w:t xml:space="preserve">  </w:t>
      </w:r>
      <w:r w:rsidRPr="00947842">
        <w:t xml:space="preserve"> внутреннего порядка в ЦРБ, как со стороны обслуживающего персонала и медицинских работников, так и граждан находившихся в лечебном учреждении. </w:t>
      </w:r>
    </w:p>
    <w:p w:rsidR="00AF3B08" w:rsidRPr="00947842" w:rsidRDefault="00AF3B08" w:rsidP="00947842"/>
    <w:p w:rsidR="00AF3B08" w:rsidRPr="00947842" w:rsidRDefault="00AF3B08" w:rsidP="00947842">
      <w:pPr>
        <w:jc w:val="center"/>
        <w:rPr>
          <w:b/>
          <w:bCs/>
          <w:sz w:val="30"/>
          <w:szCs w:val="30"/>
        </w:rPr>
      </w:pPr>
      <w:r w:rsidRPr="00947842">
        <w:rPr>
          <w:b/>
          <w:bCs/>
          <w:sz w:val="30"/>
          <w:szCs w:val="30"/>
        </w:rPr>
        <w:t>2. Описание целей и задач муниципальной программы</w:t>
      </w:r>
    </w:p>
    <w:p w:rsidR="00AF3B08" w:rsidRPr="00947842" w:rsidRDefault="00AF3B08" w:rsidP="00947842"/>
    <w:p w:rsidR="00AF3B08" w:rsidRPr="00947842" w:rsidRDefault="00AF3B08" w:rsidP="00947842">
      <w:r w:rsidRPr="00947842">
        <w:t>Целями муниципальной программы являются:</w:t>
      </w:r>
    </w:p>
    <w:p w:rsidR="00AF3B08" w:rsidRPr="00947842" w:rsidRDefault="00AF3B08" w:rsidP="00947842">
      <w:r w:rsidRPr="00947842">
        <w:t>1. Совершенствование системы охраны здоровья граждан в целях профилактики заболеваний, сохранения и укрепления физического и психического развития каждого человека, поддержания его долголетней активной жизни, предоставления ему доступной и качественной медицинской помощи.</w:t>
      </w:r>
    </w:p>
    <w:p w:rsidR="00AF3B08" w:rsidRPr="00947842" w:rsidRDefault="00AF3B08" w:rsidP="00947842">
      <w:r w:rsidRPr="00947842">
        <w:t>2. Повышение социальной защищенности населения.</w:t>
      </w:r>
    </w:p>
    <w:p w:rsidR="00AF3B08" w:rsidRPr="00947842" w:rsidRDefault="00AF3B08" w:rsidP="00947842">
      <w:r w:rsidRPr="00947842">
        <w:t>Задачи муниципальной программы:</w:t>
      </w:r>
    </w:p>
    <w:p w:rsidR="00AF3B08" w:rsidRPr="00947842" w:rsidRDefault="00AF3B08" w:rsidP="00947842">
      <w:r w:rsidRPr="00947842">
        <w:t xml:space="preserve">1. Обеспечение приоритета профилактики в сфере охраны здоровья, развития первичной медико-санитарной помощи. Реализация дифференцированного подхода к профилактическим осмотрам и диспансеризации населения, в том числе детей. </w:t>
      </w:r>
    </w:p>
    <w:p w:rsidR="00AF3B08" w:rsidRPr="00947842" w:rsidRDefault="00AF3B08" w:rsidP="00947842">
      <w:r w:rsidRPr="00947842">
        <w:t>2. Обеспечение мер социальной поддержки отдельных категорий населения.</w:t>
      </w:r>
    </w:p>
    <w:p w:rsidR="00AF3B08" w:rsidRPr="00947842" w:rsidRDefault="00AF3B08" w:rsidP="00947842"/>
    <w:p w:rsidR="00AF3B08" w:rsidRPr="00947842" w:rsidRDefault="00AF3B08" w:rsidP="00947842">
      <w:pPr>
        <w:jc w:val="center"/>
        <w:rPr>
          <w:b/>
          <w:bCs/>
          <w:sz w:val="30"/>
          <w:szCs w:val="30"/>
        </w:rPr>
      </w:pPr>
      <w:r w:rsidRPr="00947842">
        <w:rPr>
          <w:b/>
          <w:bCs/>
          <w:sz w:val="30"/>
          <w:szCs w:val="30"/>
        </w:rPr>
        <w:t>3. Перечень подпрограмм муниципальной программы с кратким описанием подпрограмм, основных мероприятий, и мероприятий муниципальной программы</w:t>
      </w:r>
    </w:p>
    <w:p w:rsidR="00AF3B08" w:rsidRPr="00947842" w:rsidRDefault="00AF3B08" w:rsidP="00947842"/>
    <w:tbl>
      <w:tblPr>
        <w:tblW w:w="5000" w:type="pct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710"/>
        <w:gridCol w:w="2538"/>
        <w:gridCol w:w="1963"/>
        <w:gridCol w:w="2308"/>
      </w:tblGrid>
      <w:tr w:rsidR="00AF3B08" w:rsidRPr="00947842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F3B08" w:rsidRPr="00947842" w:rsidRDefault="00AF3B08" w:rsidP="00947842">
            <w:pPr>
              <w:pStyle w:val="Table0"/>
            </w:pPr>
            <w:r w:rsidRPr="00947842">
              <w:t>Наименование подпрограммы, основного мероприятия, мероприятия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F3B08" w:rsidRPr="00947842" w:rsidRDefault="00AF3B08" w:rsidP="00947842">
            <w:pPr>
              <w:pStyle w:val="Table0"/>
            </w:pPr>
            <w:r w:rsidRPr="00947842">
              <w:t>Краткое описание подпрограммы, основного мероприятия, мероприятия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F3B08" w:rsidRPr="00947842" w:rsidRDefault="00AF3B08" w:rsidP="00947842">
            <w:pPr>
              <w:pStyle w:val="Table0"/>
            </w:pPr>
            <w:r w:rsidRPr="00947842">
              <w:t>Наименование целевого показателя (индикатора)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F3B08" w:rsidRPr="00947842" w:rsidRDefault="00AF3B08" w:rsidP="00947842">
            <w:pPr>
              <w:pStyle w:val="Table0"/>
            </w:pPr>
            <w:r w:rsidRPr="00947842">
              <w:t>Порядок определения (формула)</w:t>
            </w:r>
          </w:p>
        </w:tc>
      </w:tr>
      <w:tr w:rsidR="00AF3B08" w:rsidRPr="00947842">
        <w:trPr>
          <w:tblHeader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F3B08" w:rsidRPr="00947842" w:rsidRDefault="00AF3B08" w:rsidP="00947842">
            <w:pPr>
              <w:pStyle w:val="Table"/>
            </w:pPr>
            <w:r w:rsidRPr="00947842"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F3B08" w:rsidRPr="00947842" w:rsidRDefault="00AF3B08" w:rsidP="00947842">
            <w:pPr>
              <w:pStyle w:val="Table"/>
            </w:pPr>
            <w:r w:rsidRPr="00947842"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F3B08" w:rsidRPr="00947842" w:rsidRDefault="00AF3B08" w:rsidP="00947842">
            <w:pPr>
              <w:pStyle w:val="Table"/>
            </w:pPr>
            <w:r w:rsidRPr="00947842"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F3B08" w:rsidRPr="00947842" w:rsidRDefault="00AF3B08" w:rsidP="00947842">
            <w:pPr>
              <w:pStyle w:val="Table"/>
            </w:pPr>
            <w:r w:rsidRPr="00947842">
              <w:t>4</w:t>
            </w:r>
          </w:p>
        </w:tc>
      </w:tr>
      <w:tr w:rsidR="00AF3B08" w:rsidRPr="00947842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 xml:space="preserve">1. Цель: Совершенствование системы охраны здоровья граждан в целях профилактики заболеваний, сохранения и укрепления физического и психического развития каждого человека, поддержания его долголетней активной жизни, предоставления ему доступной и качественной медицинской помощи. </w:t>
            </w:r>
          </w:p>
        </w:tc>
      </w:tr>
      <w:tr w:rsidR="00AF3B08" w:rsidRPr="00947842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 xml:space="preserve">1. Задача: Обеспечение приоритета профилактики в сфере охраны здоровья, развития первичной медико-санитарной помощи. Реализация дифференцированного подхода к профилактическим осмотрам и диспансеризации населения, в том числе детей. </w:t>
            </w:r>
          </w:p>
        </w:tc>
      </w:tr>
      <w:tr w:rsidR="00AF3B08" w:rsidRPr="00947842">
        <w:trPr>
          <w:trHeight w:val="550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1. Мероприятие: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Обеспечение деятельности муниципального учреждения здравоохранения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Финансовое обеспечение деятельности выполнения муниципального задания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Выполнение муниципального задания, процентов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Фактическое выполнение муниципального задания х 100 / запланированное выполнение муниципального задания</w:t>
            </w:r>
          </w:p>
        </w:tc>
      </w:tr>
      <w:tr w:rsidR="00AF3B08" w:rsidRPr="00947842">
        <w:trPr>
          <w:trHeight w:val="550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Средняя заработная плата врачей, руб.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Фонд начисленной заработной</w:t>
            </w:r>
            <w:r>
              <w:t xml:space="preserve"> </w:t>
            </w:r>
            <w:r w:rsidRPr="00947842">
              <w:t>платы врачей и иных работников медицинских организаций, имеющих высшее медицинское или иное высшее профессиональное образование / количество врачей / 12</w:t>
            </w:r>
          </w:p>
        </w:tc>
      </w:tr>
      <w:tr w:rsidR="00AF3B08" w:rsidRPr="00947842">
        <w:trPr>
          <w:trHeight w:val="372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Средняя заработная плата среднего медицинского персонала, руб.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Фонд заработной платы среднего медицинского образование / количество среднего медицинского персонала / 12</w:t>
            </w:r>
          </w:p>
        </w:tc>
      </w:tr>
      <w:tr w:rsidR="00AF3B08" w:rsidRPr="00947842">
        <w:trPr>
          <w:trHeight w:val="550"/>
        </w:trPr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Средняя заработная плата младшего медицинского персонала, руб.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Фонд заработной платы младшего медицинского образование / количество младшего медицинского персонала / 12</w:t>
            </w:r>
          </w:p>
        </w:tc>
      </w:tr>
      <w:tr w:rsidR="00AF3B08" w:rsidRPr="00947842">
        <w:trPr>
          <w:trHeight w:val="965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2. Мероприятие: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Обеспечение льготными лекарственными средствами и медицинскими изделиями отдельных групп граждан по категориям заболеваний</w:t>
            </w:r>
          </w:p>
        </w:tc>
        <w:tc>
          <w:tcPr>
            <w:tcW w:w="26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Обеспечение льготными лекарственными средствами и медицинскими изделиями отдельных групп граждан, в соответствии с законодательством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Удовлетворение спроса отдельных категорий граждан на необходимые лекарственные препараты и медицинские изделия, а также специализированные продукты лечебного питания, 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 xml:space="preserve">Число граждан, получивших необходимые лекарственные препараты х 100 / число нуждающихся в необходимых лекарственных препаратах </w:t>
            </w:r>
          </w:p>
        </w:tc>
      </w:tr>
      <w:tr w:rsidR="00AF3B08" w:rsidRPr="00947842">
        <w:trPr>
          <w:trHeight w:val="830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Смертность от болезней системы кровообращения, чел. на 100 тыс. жителей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Количество умерших от туберкулеза * 100 000 / количество жителей</w:t>
            </w:r>
          </w:p>
        </w:tc>
      </w:tr>
      <w:tr w:rsidR="00AF3B08" w:rsidRPr="00947842">
        <w:trPr>
          <w:trHeight w:val="830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Смертность от туберкулеза, чел. на 100 тыс. жителей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Количество умерших от БСК * 100 000 / количество жителей</w:t>
            </w:r>
          </w:p>
        </w:tc>
      </w:tr>
      <w:tr w:rsidR="00AF3B08" w:rsidRPr="00947842">
        <w:trPr>
          <w:trHeight w:val="965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Смертность от дорожно – транспортных происшествий, чел. на 100 тыс. жителей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Количество умерших от ДТП * 100 000 / количество жителей</w:t>
            </w:r>
          </w:p>
        </w:tc>
      </w:tr>
      <w:tr w:rsidR="00AF3B08" w:rsidRPr="00947842">
        <w:trPr>
          <w:trHeight w:val="965"/>
        </w:trPr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Смертность населения (без показателя смертности от внешних причин), чел. на 100 тыс. жителей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Количество умерших ( без количества смертей от внешних причин) * 100 000 / количество жителей</w:t>
            </w:r>
          </w:p>
        </w:tc>
      </w:tr>
      <w:tr w:rsidR="00AF3B08" w:rsidRPr="00947842">
        <w:trPr>
          <w:trHeight w:val="48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3. Мероприятие: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Модернизация информационных систем и обеспечение информационной безопасности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 xml:space="preserve">Финансовое обеспечение 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информационных систем и обеспечение информационной безопасности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Доля населения, осуществляющихзапись на прием к врачу с использованием сети «Интернет», инфоматы, 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Число человек, осуществляющихзапись на прием к врачу с использованием сети «Интернет», инфоматы х 100 / общее количество населения</w:t>
            </w:r>
          </w:p>
        </w:tc>
      </w:tr>
      <w:tr w:rsidR="00AF3B08" w:rsidRPr="00947842">
        <w:trPr>
          <w:trHeight w:val="485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F3B08" w:rsidRPr="00947842" w:rsidRDefault="00AF3B08" w:rsidP="00947842">
            <w:pPr>
              <w:pStyle w:val="Table"/>
            </w:pPr>
            <w:r w:rsidRPr="00947842">
              <w:t>2. Цель: повышение социальной защищенности населения</w:t>
            </w:r>
          </w:p>
        </w:tc>
      </w:tr>
      <w:tr w:rsidR="00AF3B08" w:rsidRPr="00947842">
        <w:trPr>
          <w:trHeight w:val="485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F3B08" w:rsidRPr="00947842" w:rsidRDefault="00AF3B08" w:rsidP="00947842">
            <w:pPr>
              <w:pStyle w:val="Table"/>
            </w:pPr>
            <w:r w:rsidRPr="00947842">
              <w:t>2. Задача: обеспечение мер социальной поддержки отдельных категорий населения</w:t>
            </w:r>
          </w:p>
        </w:tc>
      </w:tr>
      <w:tr w:rsidR="00AF3B08" w:rsidRPr="00947842">
        <w:trPr>
          <w:trHeight w:val="1790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4. Мероприятие:</w:t>
            </w:r>
          </w:p>
          <w:p w:rsidR="00AF3B08" w:rsidRPr="00947842" w:rsidRDefault="00AF3B08" w:rsidP="00FB6738">
            <w:pPr>
              <w:pStyle w:val="Table"/>
            </w:pPr>
            <w:r w:rsidRPr="00947842">
              <w:t>Приобретение продуктов питания детям, страдающим онкологическими заболеваниями, в соответствии с Законом Кемеровской области от 10.12.2007 №150-ОЗ «О мере социальной поддержки детей, страдающих онкологическими заболеваниями»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Обеспечение детей, страдающих онкологическими заболеваниями, наборами продуктов питания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Доля детей, страдающих онкологическими заболевания-ми, обеспеченных продуктами питания, от числа нуждающихся, 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Число детей, страдающих онкологическими заболеваниями, обеспеченных продуктами питания х 100 / общее число нуждающихся</w:t>
            </w:r>
          </w:p>
        </w:tc>
      </w:tr>
      <w:tr w:rsidR="00AF3B08" w:rsidRPr="00947842">
        <w:trPr>
          <w:trHeight w:val="1790"/>
        </w:trPr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Смертность от новообразований (в том числе от злокачественных), чел. на 100 тыс. населения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Количество умерших от новообразований (в том числе от злокачественных)* 100 000 / количество жителей</w:t>
            </w:r>
          </w:p>
        </w:tc>
      </w:tr>
      <w:tr w:rsidR="00AF3B08" w:rsidRPr="00947842">
        <w:trPr>
          <w:trHeight w:val="1240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5. Мероприятие:</w:t>
            </w:r>
          </w:p>
          <w:p w:rsidR="00AF3B08" w:rsidRPr="00947842" w:rsidRDefault="00AF3B08" w:rsidP="00FB6738">
            <w:pPr>
              <w:pStyle w:val="Table"/>
            </w:pPr>
            <w:r w:rsidRPr="00947842">
              <w:t>Обеспечение лекарственными средствами, предоставляемыми по рецептам врачей, детей-сирот и детей, оставшихся без попечения родителей, в возрасте до 6 лет, находящихся под опекой, в приемной семье, в соответствии с Законом Кемеровской области от 14.12.2010 №124-ОЗ «О некоторых вопросах в сфере опеки и попечительства несовершеннолетних»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Организация обеспечения лекарственными средствами по рецептам врачей детей-сирот и детей, оставшихся без попечения родителей, в возрасте до 6 лет, находящихся под опекой, в приемной семье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Удовлетворение потребности в лекарственных средствах, 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Число лиц, получивших лекарственные средства х 100 / число лиц, включенных в реестр</w:t>
            </w:r>
          </w:p>
        </w:tc>
      </w:tr>
      <w:tr w:rsidR="00AF3B08" w:rsidRPr="00947842">
        <w:trPr>
          <w:trHeight w:val="1240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Материнская смертность, чел. на 1 000 родившихся живыми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 xml:space="preserve">Количество умерших матерей * 1 000 / количество родившихся живыми </w:t>
            </w:r>
          </w:p>
        </w:tc>
      </w:tr>
      <w:tr w:rsidR="00AF3B08" w:rsidRPr="00947842">
        <w:trPr>
          <w:trHeight w:val="1240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Младенческая смертность, чел. на 1 000 родившихся живыми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Количество умерших</w:t>
            </w:r>
            <w:r>
              <w:t xml:space="preserve"> </w:t>
            </w:r>
            <w:r w:rsidRPr="00947842">
              <w:t xml:space="preserve">детей 0-1* 1 000 / количество родившихся живыми </w:t>
            </w:r>
          </w:p>
        </w:tc>
      </w:tr>
      <w:tr w:rsidR="00AF3B08" w:rsidRPr="00947842">
        <w:trPr>
          <w:trHeight w:val="970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Смертность детей в возрасте 0-17 лет, чел. на 100 тыс. населения соответствующего возраста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Количество умерших</w:t>
            </w:r>
            <w:r>
              <w:t xml:space="preserve"> </w:t>
            </w:r>
            <w:r w:rsidRPr="00947842">
              <w:t xml:space="preserve">детей 0-17 лет * 100 000 / количество населения соответствующего возраста </w:t>
            </w:r>
          </w:p>
        </w:tc>
      </w:tr>
      <w:tr w:rsidR="00AF3B08" w:rsidRPr="00947842">
        <w:trPr>
          <w:trHeight w:val="490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Охват дополнительной диспансеризацией детей – сирот, 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Охват дополнительной диспансеризацией детей – сирот * 100 / количество детей, подлежащих диспансеризации</w:t>
            </w:r>
          </w:p>
        </w:tc>
      </w:tr>
      <w:tr w:rsidR="00AF3B08" w:rsidRPr="00947842">
        <w:trPr>
          <w:trHeight w:val="490"/>
        </w:trPr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Охват дополнительной диспансеризацией детей, оставшихся без попечения родителей в возрасте до 6 лет, находящихся под опекой, в приемной семье, 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B08" w:rsidRPr="00947842" w:rsidRDefault="00AF3B08" w:rsidP="00947842">
            <w:pPr>
              <w:pStyle w:val="Table"/>
            </w:pPr>
            <w:r w:rsidRPr="00947842">
              <w:t>Охват дополнительной диспансеризацией детей, оставшихся без попечения родителей в возрасте до 6 лет, находящихся под опекой, в приемной семье * 100 / количество детей, подлежащих диспансеризации</w:t>
            </w:r>
          </w:p>
        </w:tc>
      </w:tr>
    </w:tbl>
    <w:p w:rsidR="00AF3B08" w:rsidRPr="00947842" w:rsidRDefault="00AF3B08" w:rsidP="00947842"/>
    <w:p w:rsidR="00AF3B08" w:rsidRPr="00947842" w:rsidRDefault="00AF3B08" w:rsidP="00947842">
      <w:pPr>
        <w:jc w:val="center"/>
      </w:pPr>
      <w:r w:rsidRPr="00947842">
        <w:rPr>
          <w:b/>
          <w:bCs/>
          <w:sz w:val="30"/>
          <w:szCs w:val="30"/>
        </w:rPr>
        <w:t>4. Ресурсное обеспечение реализации муниципальной программы</w:t>
      </w:r>
    </w:p>
    <w:p w:rsidR="00AF3B08" w:rsidRPr="00947842" w:rsidRDefault="00AF3B08" w:rsidP="00947842"/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7"/>
        <w:gridCol w:w="2084"/>
        <w:gridCol w:w="1046"/>
        <w:gridCol w:w="1046"/>
        <w:gridCol w:w="1046"/>
        <w:gridCol w:w="1046"/>
        <w:gridCol w:w="1046"/>
      </w:tblGrid>
      <w:tr w:rsidR="00AF3B08" w:rsidRPr="00947842">
        <w:tc>
          <w:tcPr>
            <w:tcW w:w="2340" w:type="dxa"/>
            <w:vMerge w:val="restart"/>
          </w:tcPr>
          <w:p w:rsidR="00AF3B08" w:rsidRPr="00947842" w:rsidRDefault="00AF3B08" w:rsidP="00947842">
            <w:pPr>
              <w:pStyle w:val="Table0"/>
            </w:pPr>
            <w:r w:rsidRPr="00947842"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160" w:type="dxa"/>
            <w:vMerge w:val="restart"/>
          </w:tcPr>
          <w:p w:rsidR="00AF3B08" w:rsidRPr="00947842" w:rsidRDefault="00AF3B08" w:rsidP="00947842">
            <w:pPr>
              <w:pStyle w:val="Table0"/>
            </w:pPr>
            <w:r w:rsidRPr="00947842">
              <w:t>Источник финансирования</w:t>
            </w:r>
          </w:p>
        </w:tc>
        <w:tc>
          <w:tcPr>
            <w:tcW w:w="5400" w:type="dxa"/>
            <w:gridSpan w:val="5"/>
          </w:tcPr>
          <w:p w:rsidR="00AF3B08" w:rsidRPr="00947842" w:rsidRDefault="00AF3B08" w:rsidP="00947842">
            <w:pPr>
              <w:pStyle w:val="Table0"/>
            </w:pPr>
            <w:r w:rsidRPr="00947842">
              <w:t>Объем финансовых ресурсов, тыс. рублей</w:t>
            </w:r>
          </w:p>
        </w:tc>
      </w:tr>
      <w:tr w:rsidR="00AF3B08" w:rsidRPr="00947842"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0"/>
            </w:pPr>
          </w:p>
        </w:tc>
        <w:tc>
          <w:tcPr>
            <w:tcW w:w="2160" w:type="dxa"/>
            <w:vMerge/>
          </w:tcPr>
          <w:p w:rsidR="00AF3B08" w:rsidRPr="00947842" w:rsidRDefault="00AF3B08" w:rsidP="00947842">
            <w:pPr>
              <w:pStyle w:val="Table0"/>
            </w:pP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2014 год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2015 год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2016 год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2017 год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2018 год</w:t>
            </w:r>
          </w:p>
        </w:tc>
      </w:tr>
      <w:tr w:rsidR="00AF3B08" w:rsidRPr="00947842">
        <w:trPr>
          <w:tblHeader/>
        </w:trPr>
        <w:tc>
          <w:tcPr>
            <w:tcW w:w="2340" w:type="dxa"/>
          </w:tcPr>
          <w:p w:rsidR="00AF3B08" w:rsidRPr="00947842" w:rsidRDefault="00AF3B08" w:rsidP="00947842">
            <w:pPr>
              <w:pStyle w:val="Table"/>
            </w:pPr>
            <w:r w:rsidRPr="00947842">
              <w:t>1</w:t>
            </w:r>
          </w:p>
        </w:tc>
        <w:tc>
          <w:tcPr>
            <w:tcW w:w="2160" w:type="dxa"/>
          </w:tcPr>
          <w:p w:rsidR="00AF3B08" w:rsidRPr="00947842" w:rsidRDefault="00AF3B08" w:rsidP="00947842">
            <w:pPr>
              <w:pStyle w:val="Table"/>
            </w:pPr>
            <w:r w:rsidRPr="00947842">
              <w:t>2</w:t>
            </w:r>
          </w:p>
        </w:tc>
        <w:tc>
          <w:tcPr>
            <w:tcW w:w="1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3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4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5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6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7</w:t>
            </w:r>
          </w:p>
        </w:tc>
      </w:tr>
      <w:tr w:rsidR="00AF3B08" w:rsidRPr="00947842">
        <w:tc>
          <w:tcPr>
            <w:tcW w:w="2340" w:type="dxa"/>
            <w:vMerge w:val="restart"/>
          </w:tcPr>
          <w:p w:rsidR="00AF3B08" w:rsidRPr="00947842" w:rsidRDefault="00AF3B08" w:rsidP="00947842">
            <w:pPr>
              <w:pStyle w:val="Table"/>
            </w:pPr>
            <w:r w:rsidRPr="00947842">
              <w:t>Муниципальная программа «Развитие здравоохранения Крапивинского муниципального района» на 2014 – 2018 годы</w:t>
            </w:r>
          </w:p>
        </w:tc>
        <w:tc>
          <w:tcPr>
            <w:tcW w:w="2160" w:type="dxa"/>
          </w:tcPr>
          <w:p w:rsidR="00AF3B08" w:rsidRPr="00947842" w:rsidRDefault="00AF3B08" w:rsidP="00947842">
            <w:pPr>
              <w:pStyle w:val="Table"/>
            </w:pPr>
            <w:r w:rsidRPr="00947842">
              <w:t>Всего</w:t>
            </w:r>
          </w:p>
        </w:tc>
        <w:tc>
          <w:tcPr>
            <w:tcW w:w="1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13923,0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22312,0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22323,0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22323,0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22323,0</w:t>
            </w:r>
          </w:p>
        </w:tc>
      </w:tr>
      <w:tr w:rsidR="00AF3B08" w:rsidRPr="00947842"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160" w:type="dxa"/>
          </w:tcPr>
          <w:p w:rsidR="00AF3B08" w:rsidRPr="00947842" w:rsidRDefault="00AF3B08" w:rsidP="00947842">
            <w:pPr>
              <w:pStyle w:val="Table"/>
            </w:pPr>
            <w:r w:rsidRPr="00947842">
              <w:t>местный бюджет</w:t>
            </w:r>
          </w:p>
        </w:tc>
        <w:tc>
          <w:tcPr>
            <w:tcW w:w="1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12,0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12,0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6,0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6,0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6,0</w:t>
            </w:r>
          </w:p>
        </w:tc>
      </w:tr>
      <w:tr w:rsidR="00AF3B08" w:rsidRPr="00947842"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160" w:type="dxa"/>
          </w:tcPr>
          <w:p w:rsidR="00AF3B08" w:rsidRPr="00947842" w:rsidRDefault="00AF3B08" w:rsidP="00947842">
            <w:pPr>
              <w:pStyle w:val="Table"/>
            </w:pPr>
            <w:r w:rsidRPr="00947842">
              <w:t xml:space="preserve">иные не запрещенные законодательством источники: </w:t>
            </w:r>
          </w:p>
        </w:tc>
        <w:tc>
          <w:tcPr>
            <w:tcW w:w="1079" w:type="dxa"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</w:p>
        </w:tc>
      </w:tr>
      <w:tr w:rsidR="00AF3B08" w:rsidRPr="00947842"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160" w:type="dxa"/>
          </w:tcPr>
          <w:p w:rsidR="00AF3B08" w:rsidRPr="00947842" w:rsidRDefault="00AF3B08" w:rsidP="00947842">
            <w:pPr>
              <w:pStyle w:val="Table"/>
            </w:pPr>
            <w:r w:rsidRPr="00947842">
              <w:t>областной бюджет</w:t>
            </w:r>
          </w:p>
        </w:tc>
        <w:tc>
          <w:tcPr>
            <w:tcW w:w="1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8177,1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10800,0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10817,0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10817,0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10817,0</w:t>
            </w:r>
          </w:p>
        </w:tc>
      </w:tr>
      <w:tr w:rsidR="00AF3B08" w:rsidRPr="00947842"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160" w:type="dxa"/>
          </w:tcPr>
          <w:p w:rsidR="00AF3B08" w:rsidRPr="00947842" w:rsidRDefault="00AF3B08" w:rsidP="00947842">
            <w:pPr>
              <w:pStyle w:val="Table"/>
            </w:pPr>
            <w:r w:rsidRPr="00947842">
              <w:t>средства юридических и физических лиц</w:t>
            </w:r>
          </w:p>
        </w:tc>
        <w:tc>
          <w:tcPr>
            <w:tcW w:w="1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5733,9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11500,0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11500,0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11500,0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11500,0</w:t>
            </w:r>
          </w:p>
        </w:tc>
      </w:tr>
      <w:tr w:rsidR="00AF3B08" w:rsidRPr="00947842">
        <w:tc>
          <w:tcPr>
            <w:tcW w:w="2340" w:type="dxa"/>
            <w:vMerge w:val="restart"/>
          </w:tcPr>
          <w:p w:rsidR="00AF3B08" w:rsidRPr="00947842" w:rsidRDefault="00AF3B08" w:rsidP="00947842">
            <w:pPr>
              <w:pStyle w:val="Table"/>
            </w:pPr>
            <w:r w:rsidRPr="00947842">
              <w:t>1. Мероприятие: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Обеспечение деятельности муниципального учреждения здравоохранения</w:t>
            </w:r>
          </w:p>
          <w:p w:rsidR="00AF3B08" w:rsidRPr="00947842" w:rsidRDefault="00AF3B08" w:rsidP="00947842">
            <w:pPr>
              <w:pStyle w:val="Table"/>
            </w:pPr>
          </w:p>
        </w:tc>
        <w:tc>
          <w:tcPr>
            <w:tcW w:w="2160" w:type="dxa"/>
          </w:tcPr>
          <w:p w:rsidR="00AF3B08" w:rsidRPr="00947842" w:rsidRDefault="00AF3B08" w:rsidP="00947842">
            <w:pPr>
              <w:pStyle w:val="Table"/>
            </w:pPr>
            <w:r w:rsidRPr="00947842">
              <w:t>Всего</w:t>
            </w:r>
          </w:p>
        </w:tc>
        <w:tc>
          <w:tcPr>
            <w:tcW w:w="1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15801,9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20951,0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20962,0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20962,0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20962,0</w:t>
            </w:r>
          </w:p>
        </w:tc>
      </w:tr>
      <w:tr w:rsidR="00AF3B08" w:rsidRPr="00947842"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160" w:type="dxa"/>
          </w:tcPr>
          <w:p w:rsidR="00AF3B08" w:rsidRPr="00947842" w:rsidRDefault="00AF3B08" w:rsidP="00947842">
            <w:pPr>
              <w:pStyle w:val="Table"/>
            </w:pPr>
            <w:r w:rsidRPr="00947842">
              <w:t>местный бюджет</w:t>
            </w:r>
          </w:p>
        </w:tc>
        <w:tc>
          <w:tcPr>
            <w:tcW w:w="1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12,0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12,0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6,0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6,0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6,0</w:t>
            </w:r>
          </w:p>
        </w:tc>
      </w:tr>
      <w:tr w:rsidR="00AF3B08" w:rsidRPr="00947842"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160" w:type="dxa"/>
          </w:tcPr>
          <w:p w:rsidR="00AF3B08" w:rsidRPr="00947842" w:rsidRDefault="00AF3B08" w:rsidP="00947842">
            <w:pPr>
              <w:pStyle w:val="Table"/>
            </w:pPr>
            <w:r w:rsidRPr="00947842">
              <w:t>иные не запрещенные законодательством источники:</w:t>
            </w:r>
          </w:p>
        </w:tc>
        <w:tc>
          <w:tcPr>
            <w:tcW w:w="1079" w:type="dxa"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</w:p>
        </w:tc>
      </w:tr>
      <w:tr w:rsidR="00AF3B08" w:rsidRPr="00947842"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160" w:type="dxa"/>
          </w:tcPr>
          <w:p w:rsidR="00AF3B08" w:rsidRPr="00947842" w:rsidRDefault="00AF3B08" w:rsidP="00947842">
            <w:pPr>
              <w:pStyle w:val="Table"/>
            </w:pPr>
            <w:r w:rsidRPr="00947842">
              <w:t>областной бюджет</w:t>
            </w:r>
          </w:p>
        </w:tc>
        <w:tc>
          <w:tcPr>
            <w:tcW w:w="1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6902,2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9539,0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9556,0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9556,0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9556,0</w:t>
            </w:r>
          </w:p>
        </w:tc>
      </w:tr>
      <w:tr w:rsidR="00AF3B08" w:rsidRPr="00947842"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160" w:type="dxa"/>
          </w:tcPr>
          <w:p w:rsidR="00AF3B08" w:rsidRPr="00947842" w:rsidRDefault="00AF3B08" w:rsidP="00947842">
            <w:pPr>
              <w:pStyle w:val="Table"/>
            </w:pPr>
            <w:r w:rsidRPr="00947842">
              <w:t>средства юридических и физических лиц</w:t>
            </w:r>
          </w:p>
        </w:tc>
        <w:tc>
          <w:tcPr>
            <w:tcW w:w="1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5733,9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11400,0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11400,0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11400,0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11400,0</w:t>
            </w:r>
          </w:p>
        </w:tc>
      </w:tr>
      <w:tr w:rsidR="00AF3B08" w:rsidRPr="00947842">
        <w:tc>
          <w:tcPr>
            <w:tcW w:w="2340" w:type="dxa"/>
            <w:vMerge w:val="restart"/>
          </w:tcPr>
          <w:p w:rsidR="00AF3B08" w:rsidRPr="00947842" w:rsidRDefault="00AF3B08" w:rsidP="00947842">
            <w:pPr>
              <w:pStyle w:val="Table"/>
            </w:pPr>
            <w:r w:rsidRPr="00947842">
              <w:t>2. Мероприятие: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Обеспечение льготными лекарственными средствами и медицинскими изделиями отдельных групп граждан по категориям заболеваний</w:t>
            </w:r>
          </w:p>
        </w:tc>
        <w:tc>
          <w:tcPr>
            <w:tcW w:w="2160" w:type="dxa"/>
          </w:tcPr>
          <w:p w:rsidR="00AF3B08" w:rsidRPr="00947842" w:rsidRDefault="00AF3B08" w:rsidP="00947842">
            <w:pPr>
              <w:pStyle w:val="Table"/>
            </w:pPr>
            <w:r w:rsidRPr="00947842">
              <w:t>Всего</w:t>
            </w:r>
          </w:p>
        </w:tc>
        <w:tc>
          <w:tcPr>
            <w:tcW w:w="1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1100,0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1100,0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1100,0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1100,0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1100,0</w:t>
            </w:r>
          </w:p>
        </w:tc>
      </w:tr>
      <w:tr w:rsidR="00AF3B08" w:rsidRPr="00947842">
        <w:trPr>
          <w:trHeight w:val="1090"/>
        </w:trPr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160" w:type="dxa"/>
          </w:tcPr>
          <w:p w:rsidR="00AF3B08" w:rsidRPr="00947842" w:rsidRDefault="00AF3B08" w:rsidP="00947842">
            <w:pPr>
              <w:pStyle w:val="Table"/>
            </w:pPr>
            <w:r w:rsidRPr="00947842">
              <w:t>иные не запрещенные законодательством источники: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областной бюджет</w:t>
            </w:r>
          </w:p>
        </w:tc>
        <w:tc>
          <w:tcPr>
            <w:tcW w:w="1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1100,0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1100,0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1100,0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1100,0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1100,0</w:t>
            </w:r>
          </w:p>
        </w:tc>
      </w:tr>
      <w:tr w:rsidR="00AF3B08" w:rsidRPr="00947842">
        <w:tc>
          <w:tcPr>
            <w:tcW w:w="2340" w:type="dxa"/>
            <w:vMerge w:val="restart"/>
          </w:tcPr>
          <w:p w:rsidR="00AF3B08" w:rsidRPr="00947842" w:rsidRDefault="00AF3B08" w:rsidP="00947842">
            <w:pPr>
              <w:pStyle w:val="Table"/>
            </w:pPr>
            <w:r w:rsidRPr="00947842">
              <w:t>3. Мероприятие: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Модернизация информационных систем и обеспечение информационной безопасности</w:t>
            </w:r>
          </w:p>
        </w:tc>
        <w:tc>
          <w:tcPr>
            <w:tcW w:w="2160" w:type="dxa"/>
          </w:tcPr>
          <w:p w:rsidR="00AF3B08" w:rsidRPr="00947842" w:rsidRDefault="00AF3B08" w:rsidP="00947842">
            <w:pPr>
              <w:pStyle w:val="Table"/>
            </w:pPr>
            <w:r w:rsidRPr="00947842">
              <w:t>Всего</w:t>
            </w:r>
          </w:p>
        </w:tc>
        <w:tc>
          <w:tcPr>
            <w:tcW w:w="1079" w:type="dxa"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100,0</w:t>
            </w:r>
          </w:p>
        </w:tc>
      </w:tr>
      <w:tr w:rsidR="00AF3B08" w:rsidRPr="00947842">
        <w:trPr>
          <w:trHeight w:val="1650"/>
        </w:trPr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160" w:type="dxa"/>
          </w:tcPr>
          <w:p w:rsidR="00AF3B08" w:rsidRPr="00947842" w:rsidRDefault="00AF3B08" w:rsidP="00947842">
            <w:pPr>
              <w:pStyle w:val="Table"/>
            </w:pPr>
            <w:r w:rsidRPr="00947842">
              <w:t>иные не запрещенные законодательством источники: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средства юридических и физических лиц</w:t>
            </w:r>
          </w:p>
        </w:tc>
        <w:tc>
          <w:tcPr>
            <w:tcW w:w="1079" w:type="dxa"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100,0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100,0</w:t>
            </w:r>
          </w:p>
        </w:tc>
      </w:tr>
      <w:tr w:rsidR="00AF3B08" w:rsidRPr="00947842">
        <w:tc>
          <w:tcPr>
            <w:tcW w:w="2340" w:type="dxa"/>
            <w:vMerge w:val="restart"/>
          </w:tcPr>
          <w:p w:rsidR="00AF3B08" w:rsidRPr="00947842" w:rsidRDefault="00AF3B08" w:rsidP="00947842">
            <w:pPr>
              <w:pStyle w:val="Table"/>
            </w:pPr>
            <w:r w:rsidRPr="00947842">
              <w:t>4. Мероприятие: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Приобретение продуктов питания детям, страдающим онкологическими заболеваниями, в соответствии с Законом Кеме</w:t>
            </w:r>
            <w:r>
              <w:t>ровской области от 10.12.2007 №</w:t>
            </w:r>
            <w:r w:rsidRPr="00947842">
              <w:t>150-ОЗ «О мере социальной поддержки детей, страдающих онкологическими заболеваниями»</w:t>
            </w:r>
          </w:p>
        </w:tc>
        <w:tc>
          <w:tcPr>
            <w:tcW w:w="2160" w:type="dxa"/>
          </w:tcPr>
          <w:p w:rsidR="00AF3B08" w:rsidRPr="00947842" w:rsidRDefault="00AF3B08" w:rsidP="00947842">
            <w:pPr>
              <w:pStyle w:val="Table"/>
            </w:pPr>
            <w:r w:rsidRPr="00947842">
              <w:t>Всего</w:t>
            </w:r>
          </w:p>
        </w:tc>
        <w:tc>
          <w:tcPr>
            <w:tcW w:w="1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20,9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7,0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7,0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7,0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7,0</w:t>
            </w:r>
          </w:p>
        </w:tc>
      </w:tr>
      <w:tr w:rsidR="00AF3B08" w:rsidRPr="00947842">
        <w:trPr>
          <w:trHeight w:val="1090"/>
        </w:trPr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160" w:type="dxa"/>
          </w:tcPr>
          <w:p w:rsidR="00AF3B08" w:rsidRPr="00947842" w:rsidRDefault="00AF3B08" w:rsidP="00947842">
            <w:pPr>
              <w:pStyle w:val="Table"/>
            </w:pPr>
            <w:r w:rsidRPr="00947842">
              <w:t>иные не запрещенные законодательством источники: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областной бюджет</w:t>
            </w:r>
          </w:p>
        </w:tc>
        <w:tc>
          <w:tcPr>
            <w:tcW w:w="1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20,9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7,0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7,0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7,0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7,0</w:t>
            </w:r>
          </w:p>
        </w:tc>
      </w:tr>
      <w:tr w:rsidR="00AF3B08" w:rsidRPr="00947842">
        <w:tc>
          <w:tcPr>
            <w:tcW w:w="2340" w:type="dxa"/>
            <w:vMerge w:val="restart"/>
          </w:tcPr>
          <w:p w:rsidR="00AF3B08" w:rsidRPr="00947842" w:rsidRDefault="00AF3B08" w:rsidP="00947842">
            <w:pPr>
              <w:pStyle w:val="Table"/>
            </w:pPr>
            <w:r w:rsidRPr="00947842">
              <w:t>5. Мероприятие: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Обеспечение лекарственными средствами, предоставляемыми по рецептам врачей, детей-сирот и детей, оставшихся без попечения родителей, в возрасте до 6 лет, находящихся под опекой, в приемной семье, в соответствии с Законом Кеме</w:t>
            </w:r>
            <w:r>
              <w:t>ровской области от 14.12.2010 №</w:t>
            </w:r>
            <w:r w:rsidRPr="00947842">
              <w:t>124-ОЗ «О некоторых вопросах в сфере опеки и попечительства несовершеннолетних»</w:t>
            </w:r>
          </w:p>
        </w:tc>
        <w:tc>
          <w:tcPr>
            <w:tcW w:w="2160" w:type="dxa"/>
          </w:tcPr>
          <w:p w:rsidR="00AF3B08" w:rsidRPr="00947842" w:rsidRDefault="00AF3B08" w:rsidP="00947842">
            <w:pPr>
              <w:pStyle w:val="Table"/>
            </w:pPr>
            <w:r w:rsidRPr="00947842">
              <w:t>Всего</w:t>
            </w:r>
          </w:p>
        </w:tc>
        <w:tc>
          <w:tcPr>
            <w:tcW w:w="1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154,0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154,0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154,0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154,0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154,0</w:t>
            </w:r>
          </w:p>
        </w:tc>
      </w:tr>
      <w:tr w:rsidR="00AF3B08" w:rsidRPr="00947842">
        <w:trPr>
          <w:trHeight w:val="1090"/>
        </w:trPr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2160" w:type="dxa"/>
          </w:tcPr>
          <w:p w:rsidR="00AF3B08" w:rsidRPr="00947842" w:rsidRDefault="00AF3B08" w:rsidP="00947842">
            <w:pPr>
              <w:pStyle w:val="Table"/>
            </w:pPr>
            <w:r w:rsidRPr="00947842">
              <w:t>иные не запрещенные законодательством источники: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областной бюджет</w:t>
            </w:r>
          </w:p>
        </w:tc>
        <w:tc>
          <w:tcPr>
            <w:tcW w:w="1079" w:type="dxa"/>
          </w:tcPr>
          <w:p w:rsidR="00AF3B08" w:rsidRPr="00947842" w:rsidRDefault="00AF3B08" w:rsidP="00947842">
            <w:pPr>
              <w:pStyle w:val="Table"/>
            </w:pPr>
            <w:r w:rsidRPr="00947842">
              <w:t>154,0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154,0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154,0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154,0</w:t>
            </w:r>
          </w:p>
        </w:tc>
        <w:tc>
          <w:tcPr>
            <w:tcW w:w="1080" w:type="dxa"/>
          </w:tcPr>
          <w:p w:rsidR="00AF3B08" w:rsidRPr="00947842" w:rsidRDefault="00AF3B08" w:rsidP="00947842">
            <w:pPr>
              <w:pStyle w:val="Table"/>
            </w:pPr>
            <w:r w:rsidRPr="00947842">
              <w:t>154,0</w:t>
            </w:r>
          </w:p>
        </w:tc>
      </w:tr>
    </w:tbl>
    <w:p w:rsidR="00AF3B08" w:rsidRPr="00947842" w:rsidRDefault="00AF3B08" w:rsidP="00947842"/>
    <w:p w:rsidR="00AF3B08" w:rsidRPr="00947842" w:rsidRDefault="00AF3B08" w:rsidP="00947842">
      <w:pPr>
        <w:jc w:val="center"/>
        <w:rPr>
          <w:b/>
          <w:bCs/>
          <w:sz w:val="30"/>
          <w:szCs w:val="30"/>
        </w:rPr>
      </w:pPr>
      <w:r w:rsidRPr="00947842">
        <w:rPr>
          <w:b/>
          <w:bCs/>
          <w:sz w:val="30"/>
          <w:szCs w:val="30"/>
        </w:rPr>
        <w:t>5. 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:rsidR="00AF3B08" w:rsidRPr="00947842" w:rsidRDefault="00AF3B08" w:rsidP="00947842"/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3"/>
        <w:gridCol w:w="1736"/>
        <w:gridCol w:w="1321"/>
        <w:gridCol w:w="817"/>
        <w:gridCol w:w="13"/>
        <w:gridCol w:w="860"/>
        <w:gridCol w:w="13"/>
        <w:gridCol w:w="860"/>
        <w:gridCol w:w="13"/>
        <w:gridCol w:w="860"/>
        <w:gridCol w:w="13"/>
        <w:gridCol w:w="812"/>
      </w:tblGrid>
      <w:tr w:rsidR="00AF3B08" w:rsidRPr="00947842">
        <w:tc>
          <w:tcPr>
            <w:tcW w:w="2340" w:type="dxa"/>
            <w:vMerge w:val="restart"/>
          </w:tcPr>
          <w:p w:rsidR="00AF3B08" w:rsidRPr="00947842" w:rsidRDefault="00AF3B08" w:rsidP="00947842">
            <w:pPr>
              <w:pStyle w:val="Table0"/>
            </w:pPr>
            <w:r w:rsidRPr="00947842"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800" w:type="dxa"/>
            <w:vMerge w:val="restart"/>
          </w:tcPr>
          <w:p w:rsidR="00AF3B08" w:rsidRPr="00947842" w:rsidRDefault="00AF3B08" w:rsidP="00947842">
            <w:pPr>
              <w:pStyle w:val="Table0"/>
            </w:pPr>
            <w:r w:rsidRPr="00947842">
              <w:t>Наименование целевого показателя (индикатора)</w:t>
            </w:r>
          </w:p>
        </w:tc>
        <w:tc>
          <w:tcPr>
            <w:tcW w:w="1368" w:type="dxa"/>
            <w:vMerge w:val="restart"/>
          </w:tcPr>
          <w:p w:rsidR="00AF3B08" w:rsidRPr="00947842" w:rsidRDefault="00AF3B08" w:rsidP="00947842">
            <w:pPr>
              <w:pStyle w:val="Table0"/>
            </w:pPr>
            <w:r w:rsidRPr="00947842">
              <w:t>Единица измерения</w:t>
            </w:r>
          </w:p>
        </w:tc>
        <w:tc>
          <w:tcPr>
            <w:tcW w:w="4392" w:type="dxa"/>
            <w:gridSpan w:val="9"/>
          </w:tcPr>
          <w:p w:rsidR="00AF3B08" w:rsidRPr="00947842" w:rsidRDefault="00AF3B08" w:rsidP="00947842">
            <w:pPr>
              <w:pStyle w:val="Table0"/>
            </w:pPr>
            <w:r w:rsidRPr="00947842">
              <w:t>Плановое значение целевого показателя</w:t>
            </w:r>
          </w:p>
          <w:p w:rsidR="00AF3B08" w:rsidRPr="00947842" w:rsidRDefault="00AF3B08" w:rsidP="00947842">
            <w:pPr>
              <w:pStyle w:val="Table0"/>
            </w:pPr>
            <w:r w:rsidRPr="00947842">
              <w:t>(индикатора)</w:t>
            </w:r>
          </w:p>
        </w:tc>
      </w:tr>
      <w:tr w:rsidR="00AF3B08" w:rsidRPr="00947842"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0"/>
            </w:pPr>
          </w:p>
        </w:tc>
        <w:tc>
          <w:tcPr>
            <w:tcW w:w="1800" w:type="dxa"/>
            <w:vMerge/>
          </w:tcPr>
          <w:p w:rsidR="00AF3B08" w:rsidRPr="00947842" w:rsidRDefault="00AF3B08" w:rsidP="00947842">
            <w:pPr>
              <w:pStyle w:val="Table0"/>
            </w:pPr>
          </w:p>
        </w:tc>
        <w:tc>
          <w:tcPr>
            <w:tcW w:w="1368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855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2014 год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2015 год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2016 год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2017 год</w:t>
            </w:r>
          </w:p>
        </w:tc>
        <w:tc>
          <w:tcPr>
            <w:tcW w:w="837" w:type="dxa"/>
          </w:tcPr>
          <w:p w:rsidR="00AF3B08" w:rsidRPr="00947842" w:rsidRDefault="00AF3B08" w:rsidP="00947842">
            <w:pPr>
              <w:pStyle w:val="Table"/>
            </w:pPr>
            <w:r w:rsidRPr="00947842">
              <w:t>2018 год</w:t>
            </w:r>
          </w:p>
        </w:tc>
      </w:tr>
      <w:tr w:rsidR="00AF3B08" w:rsidRPr="00947842">
        <w:trPr>
          <w:tblHeader/>
        </w:trPr>
        <w:tc>
          <w:tcPr>
            <w:tcW w:w="2340" w:type="dxa"/>
          </w:tcPr>
          <w:p w:rsidR="00AF3B08" w:rsidRPr="00947842" w:rsidRDefault="00AF3B08" w:rsidP="00947842">
            <w:pPr>
              <w:pStyle w:val="Table"/>
            </w:pPr>
            <w:r w:rsidRPr="00947842">
              <w:t>1</w:t>
            </w: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  <w:r w:rsidRPr="00947842">
              <w:t>2</w:t>
            </w:r>
          </w:p>
        </w:tc>
        <w:tc>
          <w:tcPr>
            <w:tcW w:w="1368" w:type="dxa"/>
          </w:tcPr>
          <w:p w:rsidR="00AF3B08" w:rsidRPr="00947842" w:rsidRDefault="00AF3B08" w:rsidP="00947842">
            <w:pPr>
              <w:pStyle w:val="Table"/>
            </w:pPr>
            <w:r w:rsidRPr="00947842">
              <w:t>3</w:t>
            </w: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  <w:r w:rsidRPr="00947842">
              <w:t>4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5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6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7</w:t>
            </w: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8</w:t>
            </w:r>
          </w:p>
        </w:tc>
      </w:tr>
      <w:tr w:rsidR="00AF3B08" w:rsidRPr="00947842">
        <w:tc>
          <w:tcPr>
            <w:tcW w:w="2340" w:type="dxa"/>
          </w:tcPr>
          <w:p w:rsidR="00AF3B08" w:rsidRPr="00947842" w:rsidRDefault="00AF3B08" w:rsidP="00947842">
            <w:pPr>
              <w:pStyle w:val="Table"/>
            </w:pPr>
            <w:r w:rsidRPr="00947842">
              <w:t>Муниципальная программа «Развитие здравоохранения Крапивинского муниципального района» на 2014 – 2018 годы</w:t>
            </w: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368" w:type="dxa"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</w:p>
        </w:tc>
      </w:tr>
      <w:tr w:rsidR="00AF3B08" w:rsidRPr="00947842">
        <w:trPr>
          <w:trHeight w:val="485"/>
        </w:trPr>
        <w:tc>
          <w:tcPr>
            <w:tcW w:w="2340" w:type="dxa"/>
            <w:vMerge w:val="restart"/>
          </w:tcPr>
          <w:p w:rsidR="00AF3B08" w:rsidRPr="00947842" w:rsidRDefault="00AF3B08" w:rsidP="00947842">
            <w:pPr>
              <w:pStyle w:val="Table"/>
            </w:pPr>
            <w:r w:rsidRPr="00947842">
              <w:t>1. Мероприятие: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Обеспечение деятельности муниципального учреждения здравоохранения</w:t>
            </w: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  <w:r w:rsidRPr="00947842">
              <w:t>Выполнение муниципального задания</w:t>
            </w:r>
          </w:p>
        </w:tc>
        <w:tc>
          <w:tcPr>
            <w:tcW w:w="1368" w:type="dxa"/>
          </w:tcPr>
          <w:p w:rsidR="00AF3B08" w:rsidRPr="00947842" w:rsidRDefault="00AF3B08" w:rsidP="00947842">
            <w:pPr>
              <w:pStyle w:val="Table"/>
            </w:pPr>
            <w:r w:rsidRPr="00947842">
              <w:t>%</w:t>
            </w: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</w:tr>
      <w:tr w:rsidR="00AF3B08" w:rsidRPr="00947842">
        <w:trPr>
          <w:trHeight w:val="485"/>
        </w:trPr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  <w:r w:rsidRPr="00947842">
              <w:t>Средняя заработная плата врачей</w:t>
            </w:r>
          </w:p>
        </w:tc>
        <w:tc>
          <w:tcPr>
            <w:tcW w:w="1368" w:type="dxa"/>
          </w:tcPr>
          <w:p w:rsidR="00AF3B08" w:rsidRPr="00947842" w:rsidRDefault="00AF3B08" w:rsidP="00947842">
            <w:pPr>
              <w:pStyle w:val="Table"/>
            </w:pPr>
            <w:r w:rsidRPr="00947842">
              <w:t>руб.</w:t>
            </w:r>
          </w:p>
          <w:p w:rsidR="00AF3B08" w:rsidRPr="00947842" w:rsidRDefault="00AF3B08" w:rsidP="00947842">
            <w:pPr>
              <w:pStyle w:val="Table"/>
            </w:pP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  <w:r w:rsidRPr="00947842">
              <w:t>35600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37190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48415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65448</w:t>
            </w: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71166</w:t>
            </w:r>
          </w:p>
        </w:tc>
      </w:tr>
      <w:tr w:rsidR="00AF3B08" w:rsidRPr="00947842">
        <w:trPr>
          <w:trHeight w:val="485"/>
        </w:trPr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  <w:r w:rsidRPr="00947842">
              <w:t>Средняя заработная плата среднего медицинского персонала</w:t>
            </w:r>
          </w:p>
        </w:tc>
        <w:tc>
          <w:tcPr>
            <w:tcW w:w="1368" w:type="dxa"/>
          </w:tcPr>
          <w:p w:rsidR="00AF3B08" w:rsidRPr="00947842" w:rsidRDefault="00AF3B08" w:rsidP="00947842">
            <w:pPr>
              <w:pStyle w:val="Table"/>
            </w:pPr>
            <w:r w:rsidRPr="00947842">
              <w:t>руб.</w:t>
            </w:r>
          </w:p>
          <w:p w:rsidR="00AF3B08" w:rsidRPr="00947842" w:rsidRDefault="00AF3B08" w:rsidP="00947842">
            <w:pPr>
              <w:pStyle w:val="Table"/>
            </w:pP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  <w:r w:rsidRPr="00947842">
              <w:t>19700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20630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26179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32724</w:t>
            </w: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35583</w:t>
            </w:r>
          </w:p>
        </w:tc>
      </w:tr>
      <w:tr w:rsidR="00AF3B08" w:rsidRPr="00947842">
        <w:trPr>
          <w:trHeight w:val="485"/>
        </w:trPr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  <w:r w:rsidRPr="00947842">
              <w:t>Средняя заработная плата младшего медицинского персонала</w:t>
            </w:r>
          </w:p>
        </w:tc>
        <w:tc>
          <w:tcPr>
            <w:tcW w:w="1368" w:type="dxa"/>
          </w:tcPr>
          <w:p w:rsidR="00AF3B08" w:rsidRPr="00947842" w:rsidRDefault="00AF3B08" w:rsidP="00947842">
            <w:pPr>
              <w:pStyle w:val="Table"/>
            </w:pPr>
            <w:r w:rsidRPr="00947842">
              <w:t>руб.</w:t>
            </w:r>
          </w:p>
          <w:p w:rsidR="00AF3B08" w:rsidRPr="00947842" w:rsidRDefault="00AF3B08" w:rsidP="00947842">
            <w:pPr>
              <w:pStyle w:val="Table"/>
            </w:pP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  <w:r w:rsidRPr="00947842">
              <w:t>12000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14270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21386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32724</w:t>
            </w: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35583</w:t>
            </w:r>
          </w:p>
        </w:tc>
      </w:tr>
      <w:tr w:rsidR="00AF3B08" w:rsidRPr="00947842">
        <w:trPr>
          <w:trHeight w:val="608"/>
        </w:trPr>
        <w:tc>
          <w:tcPr>
            <w:tcW w:w="2340" w:type="dxa"/>
            <w:vMerge w:val="restart"/>
          </w:tcPr>
          <w:p w:rsidR="00AF3B08" w:rsidRPr="00947842" w:rsidRDefault="00AF3B08" w:rsidP="00947842">
            <w:pPr>
              <w:pStyle w:val="Table"/>
            </w:pPr>
            <w:r w:rsidRPr="00947842">
              <w:t>2. Мероприятие: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Обеспечение льготными лекарственными средствами и медицинскими изделиями отдельных групп граждан по категориям заболеваний</w:t>
            </w: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  <w:r w:rsidRPr="00947842">
              <w:t>Удовлетворение спроса отдельных категорий граждан на необходимые лекарственные препараты и медицинские изделия, а также специализированные продукты лечебного питания</w:t>
            </w:r>
          </w:p>
        </w:tc>
        <w:tc>
          <w:tcPr>
            <w:tcW w:w="1368" w:type="dxa"/>
          </w:tcPr>
          <w:p w:rsidR="00AF3B08" w:rsidRPr="00947842" w:rsidRDefault="00AF3B08" w:rsidP="00947842">
            <w:pPr>
              <w:pStyle w:val="Table"/>
            </w:pPr>
            <w:r w:rsidRPr="00947842">
              <w:t>%</w:t>
            </w: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  <w:r w:rsidRPr="00947842">
              <w:t>24,7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24,8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24,9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25,0</w:t>
            </w: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25,0</w:t>
            </w:r>
          </w:p>
        </w:tc>
      </w:tr>
      <w:tr w:rsidR="00AF3B08" w:rsidRPr="00947842">
        <w:trPr>
          <w:trHeight w:val="608"/>
        </w:trPr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  <w:r w:rsidRPr="00947842">
              <w:t xml:space="preserve">Смертность от болезней системы кровообращения </w:t>
            </w:r>
          </w:p>
        </w:tc>
        <w:tc>
          <w:tcPr>
            <w:tcW w:w="1368" w:type="dxa"/>
          </w:tcPr>
          <w:p w:rsidR="00AF3B08" w:rsidRPr="00947842" w:rsidRDefault="00AF3B08" w:rsidP="00947842">
            <w:pPr>
              <w:pStyle w:val="Table"/>
            </w:pPr>
            <w:r w:rsidRPr="00947842">
              <w:t>чел. на 100 тыс. жителей</w:t>
            </w: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  <w:r w:rsidRPr="00947842">
              <w:t>578,6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577,4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576,3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575,1</w:t>
            </w: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574,0</w:t>
            </w:r>
          </w:p>
        </w:tc>
      </w:tr>
      <w:tr w:rsidR="00AF3B08" w:rsidRPr="00947842">
        <w:trPr>
          <w:trHeight w:val="608"/>
        </w:trPr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  <w:r w:rsidRPr="00947842">
              <w:t xml:space="preserve">Смертность от туберкулеза </w:t>
            </w:r>
          </w:p>
        </w:tc>
        <w:tc>
          <w:tcPr>
            <w:tcW w:w="1368" w:type="dxa"/>
          </w:tcPr>
          <w:p w:rsidR="00AF3B08" w:rsidRPr="00947842" w:rsidRDefault="00AF3B08" w:rsidP="00947842">
            <w:pPr>
              <w:pStyle w:val="Table"/>
            </w:pPr>
            <w:r w:rsidRPr="00947842">
              <w:t>чел. на 100 тыс. жителей</w:t>
            </w: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  <w:r w:rsidRPr="00947842">
              <w:t>29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27,7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25,9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24,2</w:t>
            </w: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23,5</w:t>
            </w:r>
          </w:p>
        </w:tc>
      </w:tr>
      <w:tr w:rsidR="00AF3B08" w:rsidRPr="00947842">
        <w:trPr>
          <w:trHeight w:val="608"/>
        </w:trPr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  <w:r w:rsidRPr="00947842">
              <w:t xml:space="preserve">Смертность от дорожно – транспортных происшествий </w:t>
            </w:r>
          </w:p>
        </w:tc>
        <w:tc>
          <w:tcPr>
            <w:tcW w:w="1368" w:type="dxa"/>
          </w:tcPr>
          <w:p w:rsidR="00AF3B08" w:rsidRPr="00947842" w:rsidRDefault="00AF3B08" w:rsidP="00947842">
            <w:pPr>
              <w:pStyle w:val="Table"/>
            </w:pPr>
            <w:r w:rsidRPr="00947842">
              <w:t>чел. на 100 тыс. жителей</w:t>
            </w: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  <w:r w:rsidRPr="00947842">
              <w:t>11,9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11,5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10,8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9,4</w:t>
            </w: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8,8</w:t>
            </w:r>
          </w:p>
        </w:tc>
      </w:tr>
      <w:tr w:rsidR="00AF3B08" w:rsidRPr="00947842">
        <w:trPr>
          <w:trHeight w:val="608"/>
        </w:trPr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  <w:r w:rsidRPr="00947842">
              <w:t>Смертность населения (без показателя смертности от внешних причин)</w:t>
            </w:r>
          </w:p>
        </w:tc>
        <w:tc>
          <w:tcPr>
            <w:tcW w:w="1368" w:type="dxa"/>
          </w:tcPr>
          <w:p w:rsidR="00AF3B08" w:rsidRPr="00947842" w:rsidRDefault="00AF3B08" w:rsidP="00947842">
            <w:pPr>
              <w:pStyle w:val="Table"/>
            </w:pPr>
            <w:r w:rsidRPr="00947842">
              <w:t>чел. на 100 тыс. жителей</w:t>
            </w: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  <w:r w:rsidRPr="00947842">
              <w:t>14,5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13,9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13,8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13,5</w:t>
            </w: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12,0</w:t>
            </w:r>
          </w:p>
        </w:tc>
      </w:tr>
      <w:tr w:rsidR="00AF3B08" w:rsidRPr="00947842">
        <w:tc>
          <w:tcPr>
            <w:tcW w:w="2340" w:type="dxa"/>
          </w:tcPr>
          <w:p w:rsidR="00AF3B08" w:rsidRPr="00947842" w:rsidRDefault="00AF3B08" w:rsidP="00947842">
            <w:pPr>
              <w:pStyle w:val="Table"/>
            </w:pPr>
            <w:r w:rsidRPr="00947842">
              <w:t>3. Мероприятие: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Модернизация информационных систем и обеспечение информационной безопасности</w:t>
            </w: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  <w:r w:rsidRPr="00947842">
              <w:t>Доля населения, осуществляющих запись на прием к врачу с использованием сети «Интернет», инфоматы</w:t>
            </w:r>
          </w:p>
        </w:tc>
        <w:tc>
          <w:tcPr>
            <w:tcW w:w="1368" w:type="dxa"/>
          </w:tcPr>
          <w:p w:rsidR="00AF3B08" w:rsidRPr="00947842" w:rsidRDefault="00AF3B08" w:rsidP="00947842">
            <w:pPr>
              <w:pStyle w:val="Table"/>
            </w:pPr>
            <w:r w:rsidRPr="00947842">
              <w:t>%</w:t>
            </w: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  <w:r w:rsidRPr="00947842">
              <w:t>50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50,5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51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51,5</w:t>
            </w: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51,5</w:t>
            </w:r>
          </w:p>
        </w:tc>
      </w:tr>
      <w:tr w:rsidR="00AF3B08" w:rsidRPr="00947842">
        <w:trPr>
          <w:trHeight w:val="2210"/>
        </w:trPr>
        <w:tc>
          <w:tcPr>
            <w:tcW w:w="2340" w:type="dxa"/>
            <w:vMerge w:val="restart"/>
          </w:tcPr>
          <w:p w:rsidR="00AF3B08" w:rsidRPr="00947842" w:rsidRDefault="00AF3B08" w:rsidP="00947842">
            <w:pPr>
              <w:pStyle w:val="Table"/>
            </w:pPr>
            <w:r w:rsidRPr="00947842">
              <w:t>4. Мероприятие: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Приобретение продуктов питания детям, страдающим онкологическими заболеваниями, в соответствии с Законом Кемеровской области от 10.12.2007 № 150-ОЗ «О мере социальной поддержки детей, страдающих онкологическими заболеваниями»</w:t>
            </w: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  <w:r w:rsidRPr="00947842">
              <w:t>Доля детей, страдающих онкологическими заболевания-ми, обеспеченных продуктами питания, от числа нуждающихся</w:t>
            </w:r>
          </w:p>
        </w:tc>
        <w:tc>
          <w:tcPr>
            <w:tcW w:w="1368" w:type="dxa"/>
            <w:vAlign w:val="center"/>
          </w:tcPr>
          <w:p w:rsidR="00AF3B08" w:rsidRPr="00947842" w:rsidRDefault="00AF3B08" w:rsidP="00947842">
            <w:pPr>
              <w:pStyle w:val="Table"/>
            </w:pPr>
            <w:r w:rsidRPr="00947842">
              <w:t>%</w:t>
            </w: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</w:tr>
      <w:tr w:rsidR="00AF3B08" w:rsidRPr="00947842">
        <w:trPr>
          <w:trHeight w:val="2210"/>
        </w:trPr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  <w:r w:rsidRPr="00947842">
              <w:t xml:space="preserve">Смертность от новообразований (в том числе от злокачественных) </w:t>
            </w:r>
          </w:p>
        </w:tc>
        <w:tc>
          <w:tcPr>
            <w:tcW w:w="1368" w:type="dxa"/>
            <w:vAlign w:val="center"/>
          </w:tcPr>
          <w:p w:rsidR="00AF3B08" w:rsidRPr="00947842" w:rsidRDefault="00AF3B08" w:rsidP="00947842">
            <w:pPr>
              <w:pStyle w:val="Table"/>
            </w:pPr>
            <w:r w:rsidRPr="00947842">
              <w:t>чел. на 100 тыс. населения</w:t>
            </w: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  <w:r w:rsidRPr="00947842">
              <w:t>172,2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172,0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169,5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166,4</w:t>
            </w: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166,0</w:t>
            </w:r>
          </w:p>
        </w:tc>
      </w:tr>
      <w:tr w:rsidR="00AF3B08" w:rsidRPr="00947842">
        <w:trPr>
          <w:trHeight w:val="1015"/>
        </w:trPr>
        <w:tc>
          <w:tcPr>
            <w:tcW w:w="2340" w:type="dxa"/>
            <w:vMerge w:val="restart"/>
          </w:tcPr>
          <w:p w:rsidR="00AF3B08" w:rsidRPr="00947842" w:rsidRDefault="00AF3B08" w:rsidP="00947842">
            <w:pPr>
              <w:pStyle w:val="Table"/>
            </w:pPr>
            <w:r w:rsidRPr="00947842">
              <w:t>5. Мероприятие:</w:t>
            </w:r>
          </w:p>
          <w:p w:rsidR="00AF3B08" w:rsidRPr="00947842" w:rsidRDefault="00AF3B08" w:rsidP="00947842">
            <w:pPr>
              <w:pStyle w:val="Table"/>
            </w:pPr>
            <w:r w:rsidRPr="00947842">
              <w:t>Обеспечение лекарственными средствами, предоставляемыми по рецептам врачей, детей-сирот и детей, оставшихся без попечения родителей, в возрасте до 6 лет, находящихся под опекой, в приемной семье, в соответствии с Законом Кемеровской области от 14.12.2010 № 124-ОЗ «О некоторых вопросах в сфере опеки и попечительства несовершеннолетних»</w:t>
            </w: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  <w:r w:rsidRPr="00947842">
              <w:t>Удовлетворение потребности в лекарственных средствах, процентов</w:t>
            </w:r>
          </w:p>
        </w:tc>
        <w:tc>
          <w:tcPr>
            <w:tcW w:w="1368" w:type="dxa"/>
            <w:vAlign w:val="center"/>
          </w:tcPr>
          <w:p w:rsidR="00AF3B08" w:rsidRPr="00947842" w:rsidRDefault="00AF3B08" w:rsidP="00947842">
            <w:pPr>
              <w:pStyle w:val="Table"/>
            </w:pPr>
            <w:r w:rsidRPr="00947842">
              <w:t>%</w:t>
            </w: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</w:tr>
      <w:tr w:rsidR="00AF3B08" w:rsidRPr="00947842">
        <w:trPr>
          <w:trHeight w:val="1013"/>
        </w:trPr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  <w:r w:rsidRPr="00947842">
              <w:t>Материнская смертность</w:t>
            </w:r>
          </w:p>
        </w:tc>
        <w:tc>
          <w:tcPr>
            <w:tcW w:w="1368" w:type="dxa"/>
            <w:vAlign w:val="center"/>
          </w:tcPr>
          <w:p w:rsidR="00AF3B08" w:rsidRPr="00947842" w:rsidRDefault="00AF3B08" w:rsidP="00947842">
            <w:pPr>
              <w:pStyle w:val="Table"/>
            </w:pPr>
            <w:r w:rsidRPr="00947842">
              <w:t>чел. на 1 000 родившихся живыми</w:t>
            </w: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  <w:r w:rsidRPr="00947842">
              <w:t>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0</w:t>
            </w: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0</w:t>
            </w:r>
          </w:p>
        </w:tc>
      </w:tr>
      <w:tr w:rsidR="00AF3B08" w:rsidRPr="00947842">
        <w:trPr>
          <w:trHeight w:val="1013"/>
        </w:trPr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  <w:r w:rsidRPr="00947842">
              <w:t>Младенческая смертность</w:t>
            </w:r>
          </w:p>
        </w:tc>
        <w:tc>
          <w:tcPr>
            <w:tcW w:w="1368" w:type="dxa"/>
            <w:vAlign w:val="center"/>
          </w:tcPr>
          <w:p w:rsidR="00AF3B08" w:rsidRPr="00947842" w:rsidRDefault="00AF3B08" w:rsidP="00947842">
            <w:pPr>
              <w:pStyle w:val="Table"/>
            </w:pPr>
            <w:r w:rsidRPr="00947842">
              <w:t>чел. на 1 000 родившихся живыми</w:t>
            </w: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  <w:r w:rsidRPr="00947842">
              <w:t>7,6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6,5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6,5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6,4</w:t>
            </w: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6,4</w:t>
            </w:r>
          </w:p>
        </w:tc>
      </w:tr>
      <w:tr w:rsidR="00AF3B08" w:rsidRPr="00947842">
        <w:trPr>
          <w:trHeight w:val="1013"/>
        </w:trPr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  <w:r w:rsidRPr="00947842">
              <w:t>Смертность детей в возрасте 0-17 лет</w:t>
            </w:r>
          </w:p>
        </w:tc>
        <w:tc>
          <w:tcPr>
            <w:tcW w:w="1368" w:type="dxa"/>
            <w:vAlign w:val="center"/>
          </w:tcPr>
          <w:p w:rsidR="00AF3B08" w:rsidRPr="00947842" w:rsidRDefault="00AF3B08" w:rsidP="00947842">
            <w:pPr>
              <w:pStyle w:val="Table"/>
            </w:pPr>
            <w:r w:rsidRPr="00947842">
              <w:t>чел. на 100 тыс. населения соответствующего возраста</w:t>
            </w: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  <w:r w:rsidRPr="00947842">
              <w:t>120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115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110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105</w:t>
            </w: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</w:tr>
      <w:tr w:rsidR="00AF3B08" w:rsidRPr="00947842">
        <w:trPr>
          <w:trHeight w:val="1013"/>
        </w:trPr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  <w:r w:rsidRPr="00947842">
              <w:t>Охват дополнительной диспансеризацией детей – сирот</w:t>
            </w:r>
          </w:p>
        </w:tc>
        <w:tc>
          <w:tcPr>
            <w:tcW w:w="1368" w:type="dxa"/>
            <w:vAlign w:val="center"/>
          </w:tcPr>
          <w:p w:rsidR="00AF3B08" w:rsidRPr="00947842" w:rsidRDefault="00AF3B08" w:rsidP="00947842">
            <w:pPr>
              <w:pStyle w:val="Table"/>
            </w:pPr>
            <w:r w:rsidRPr="00947842">
              <w:t>%</w:t>
            </w: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</w:tr>
      <w:tr w:rsidR="00AF3B08" w:rsidRPr="00947842">
        <w:trPr>
          <w:trHeight w:val="1013"/>
        </w:trPr>
        <w:tc>
          <w:tcPr>
            <w:tcW w:w="2340" w:type="dxa"/>
            <w:vMerge/>
          </w:tcPr>
          <w:p w:rsidR="00AF3B08" w:rsidRPr="00947842" w:rsidRDefault="00AF3B08" w:rsidP="00947842">
            <w:pPr>
              <w:pStyle w:val="Table"/>
            </w:pPr>
          </w:p>
        </w:tc>
        <w:tc>
          <w:tcPr>
            <w:tcW w:w="1800" w:type="dxa"/>
          </w:tcPr>
          <w:p w:rsidR="00AF3B08" w:rsidRPr="00947842" w:rsidRDefault="00AF3B08" w:rsidP="00947842">
            <w:pPr>
              <w:pStyle w:val="Table"/>
            </w:pPr>
            <w:r w:rsidRPr="00947842">
              <w:t>Охват дополнительной диспансеризацией детей, оставшихся без попечения родителей в возрасте до 6 лет, находящихся под опекой, в приемной семье</w:t>
            </w:r>
          </w:p>
        </w:tc>
        <w:tc>
          <w:tcPr>
            <w:tcW w:w="1368" w:type="dxa"/>
            <w:vAlign w:val="center"/>
          </w:tcPr>
          <w:p w:rsidR="00AF3B08" w:rsidRPr="00947842" w:rsidRDefault="00AF3B08" w:rsidP="00947842">
            <w:pPr>
              <w:pStyle w:val="Table"/>
            </w:pPr>
            <w:r w:rsidRPr="00947842">
              <w:t>%</w:t>
            </w:r>
          </w:p>
        </w:tc>
        <w:tc>
          <w:tcPr>
            <w:tcW w:w="842" w:type="dxa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90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  <w:tc>
          <w:tcPr>
            <w:tcW w:w="850" w:type="dxa"/>
            <w:gridSpan w:val="2"/>
          </w:tcPr>
          <w:p w:rsidR="00AF3B08" w:rsidRPr="00947842" w:rsidRDefault="00AF3B08" w:rsidP="00947842">
            <w:pPr>
              <w:pStyle w:val="Table"/>
            </w:pPr>
            <w:r w:rsidRPr="00947842">
              <w:t>100</w:t>
            </w:r>
          </w:p>
        </w:tc>
      </w:tr>
    </w:tbl>
    <w:p w:rsidR="00AF3B08" w:rsidRPr="00947842" w:rsidRDefault="00AF3B08" w:rsidP="00947842"/>
    <w:p w:rsidR="00AF3B08" w:rsidRPr="00947842" w:rsidRDefault="00AF3B08" w:rsidP="00947842">
      <w:pPr>
        <w:jc w:val="center"/>
      </w:pPr>
      <w:r w:rsidRPr="00947842">
        <w:rPr>
          <w:b/>
          <w:bCs/>
          <w:sz w:val="30"/>
          <w:szCs w:val="30"/>
        </w:rPr>
        <w:t>6. Методика оценки эффективности муниципальной программы</w:t>
      </w:r>
    </w:p>
    <w:p w:rsidR="00AF3B08" w:rsidRPr="00947842" w:rsidRDefault="00AF3B08" w:rsidP="00947842"/>
    <w:p w:rsidR="00AF3B08" w:rsidRPr="00947842" w:rsidRDefault="00AF3B08" w:rsidP="00947842">
      <w:r w:rsidRPr="00947842">
        <w:t>Оценка эффективности Муниципальной программы представляет собой механизм контроля за выполнением мероприятий Муниципальной программы в зависимости от степени достижения задач, определенных Муниципальной программой, в целях оптимальной концентрации средств на выполнение поставленных задач.</w:t>
      </w:r>
    </w:p>
    <w:p w:rsidR="00AF3B08" w:rsidRPr="00947842" w:rsidRDefault="00AF3B08" w:rsidP="00947842">
      <w:r w:rsidRPr="00947842">
        <w:t>Для оценки эффективности Муниципальной программы используются целевые показатели (индикаторы) Муниципальной программы.</w:t>
      </w:r>
    </w:p>
    <w:p w:rsidR="00AF3B08" w:rsidRPr="00947842" w:rsidRDefault="00AF3B08" w:rsidP="00947842">
      <w:r w:rsidRPr="00947842">
        <w:t>Методика оценки эффективности Муниципальной программы учитывает необходимость проведения оценок по следующим критериям:</w:t>
      </w:r>
    </w:p>
    <w:p w:rsidR="00AF3B08" w:rsidRPr="00947842" w:rsidRDefault="00AF3B08" w:rsidP="00947842">
      <w:r w:rsidRPr="00947842">
        <w:t>а) эффективность использования средств областного бюджета, направленных на реализацию Муниципальной программы;</w:t>
      </w:r>
    </w:p>
    <w:p w:rsidR="00AF3B08" w:rsidRPr="00947842" w:rsidRDefault="00AF3B08" w:rsidP="00947842">
      <w:r w:rsidRPr="00947842">
        <w:t>б) динамика достижения значений целевых показателей (индикаторов).</w:t>
      </w:r>
    </w:p>
    <w:p w:rsidR="00AF3B08" w:rsidRPr="00947842" w:rsidRDefault="00AF3B08" w:rsidP="00947842">
      <w:r w:rsidRPr="00947842">
        <w:t>Оценка эффективности производится ежегодно за отчетный год на основании годовых сведений, представленных исполнителями Муниципальной программы.</w:t>
      </w:r>
    </w:p>
    <w:p w:rsidR="00AF3B08" w:rsidRPr="00947842" w:rsidRDefault="00AF3B08" w:rsidP="00947842">
      <w:r w:rsidRPr="00947842">
        <w:t>Показатель достижения плановых значений целевых показателей (индикаторов) в целом по Муниципальной программе определяется по формуле:</w:t>
      </w:r>
    </w:p>
    <w:p w:rsidR="00AF3B08" w:rsidRPr="00947842" w:rsidRDefault="00AF3B08" w:rsidP="00947842">
      <w:r w:rsidRPr="00947842">
        <w:t> 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850"/>
        <w:gridCol w:w="2830"/>
        <w:gridCol w:w="917"/>
      </w:tblGrid>
      <w:tr w:rsidR="00AF3B08" w:rsidRPr="00947842">
        <w:trPr>
          <w:trHeight w:val="415"/>
        </w:trPr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B08" w:rsidRPr="00947842" w:rsidRDefault="00AF3B08" w:rsidP="00947842">
            <w:pPr>
              <w:ind w:firstLine="0"/>
            </w:pPr>
            <w:r w:rsidRPr="00947842">
              <w:t>ЦП=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B08" w:rsidRPr="00947842" w:rsidRDefault="00AF3B08" w:rsidP="00947842">
            <w:r w:rsidRPr="00947842">
              <w:t> Ф1 + Ф2 + … + Фк</w:t>
            </w:r>
          </w:p>
          <w:p w:rsidR="00AF3B08" w:rsidRPr="00947842" w:rsidRDefault="00AF3B08" w:rsidP="00947842">
            <w:r w:rsidRPr="00947842">
              <w:t> П1 П2 Пк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B08" w:rsidRPr="00947842" w:rsidRDefault="00AF3B08" w:rsidP="00947842">
            <w:r w:rsidRPr="00947842">
              <w:t> </w:t>
            </w:r>
          </w:p>
          <w:p w:rsidR="00AF3B08" w:rsidRPr="00947842" w:rsidRDefault="00AF3B08" w:rsidP="00947842">
            <w:r w:rsidRPr="00947842">
              <w:t> , где:</w:t>
            </w:r>
          </w:p>
        </w:tc>
      </w:tr>
      <w:tr w:rsidR="00AF3B08" w:rsidRPr="00947842">
        <w:trPr>
          <w:trHeight w:val="149"/>
        </w:trPr>
        <w:tc>
          <w:tcPr>
            <w:tcW w:w="0" w:type="auto"/>
            <w:vMerge/>
            <w:vAlign w:val="center"/>
          </w:tcPr>
          <w:p w:rsidR="00AF3B08" w:rsidRPr="00947842" w:rsidRDefault="00AF3B08" w:rsidP="00947842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B08" w:rsidRPr="00947842" w:rsidRDefault="00AF3B08" w:rsidP="00947842">
            <w:r w:rsidRPr="00947842">
              <w:t>К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B08" w:rsidRPr="00947842" w:rsidRDefault="00AF3B08" w:rsidP="00947842">
            <w:r w:rsidRPr="00947842">
              <w:t> </w:t>
            </w:r>
          </w:p>
        </w:tc>
      </w:tr>
    </w:tbl>
    <w:p w:rsidR="00AF3B08" w:rsidRPr="00947842" w:rsidRDefault="00AF3B08" w:rsidP="00947842">
      <w:r w:rsidRPr="00947842">
        <w:t> </w:t>
      </w:r>
    </w:p>
    <w:p w:rsidR="00AF3B08" w:rsidRPr="00947842" w:rsidRDefault="00AF3B08" w:rsidP="00947842">
      <w:r w:rsidRPr="00947842">
        <w:t>ЦП – показатель достижения плановых значений целевых показателей (индикаторов) в целом по Муниципальной программе;</w:t>
      </w:r>
    </w:p>
    <w:p w:rsidR="00AF3B08" w:rsidRPr="00947842" w:rsidRDefault="00AF3B08" w:rsidP="00947842">
      <w:r w:rsidRPr="00947842">
        <w:t>К– количество целевых показателей (индикаторов) Муниципальной программы;</w:t>
      </w:r>
    </w:p>
    <w:p w:rsidR="00AF3B08" w:rsidRPr="00947842" w:rsidRDefault="00AF3B08" w:rsidP="00947842">
      <w:r w:rsidRPr="00947842">
        <w:t>Ф – фактическое значение целевого показателя (индикатора) решения задач Муниципальной программы за отчетный год;</w:t>
      </w:r>
    </w:p>
    <w:p w:rsidR="00AF3B08" w:rsidRPr="00947842" w:rsidRDefault="00AF3B08" w:rsidP="00947842">
      <w:r w:rsidRPr="00947842">
        <w:t>П – планируемое значение достижения целевого показателя (индикатора) решения задач Муниципальной программы за отчетный год.</w:t>
      </w:r>
    </w:p>
    <w:p w:rsidR="00AF3B08" w:rsidRPr="00947842" w:rsidRDefault="00AF3B08" w:rsidP="00947842">
      <w:r w:rsidRPr="00947842">
        <w:t>В случае когда уменьшение значения целевого показателя (индикатора) является положительной динамикой, показатели Ф и П в формуле меняются местами (например, П1 / Ф1 + П2 / Ф2 + ...).</w:t>
      </w:r>
    </w:p>
    <w:p w:rsidR="00AF3B08" w:rsidRPr="00947842" w:rsidRDefault="00AF3B08" w:rsidP="00947842">
      <w:r w:rsidRPr="00947842">
        <w:t>Расчет степени соответствия фактических объемов финансирования из бюджета области (БО) на реализацию Муниципальной программы запланированному уровню производится по следующей формуле: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000"/>
      </w:tblPr>
      <w:tblGrid>
        <w:gridCol w:w="851"/>
        <w:gridCol w:w="425"/>
        <w:gridCol w:w="917"/>
      </w:tblGrid>
      <w:tr w:rsidR="00AF3B08" w:rsidRPr="00947842">
        <w:trPr>
          <w:trHeight w:val="204"/>
        </w:trPr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B08" w:rsidRPr="00947842" w:rsidRDefault="00AF3B08" w:rsidP="00947842">
            <w:pPr>
              <w:ind w:firstLine="0"/>
            </w:pPr>
            <w:r w:rsidRPr="00947842">
              <w:t>БО =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B08" w:rsidRPr="00947842" w:rsidRDefault="00AF3B08" w:rsidP="00FB6738">
            <w:pPr>
              <w:ind w:firstLine="0"/>
            </w:pPr>
            <w:r w:rsidRPr="00947842">
              <w:t>О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B08" w:rsidRPr="00947842" w:rsidRDefault="00AF3B08" w:rsidP="00947842">
            <w:r w:rsidRPr="00947842">
              <w:t> , где:</w:t>
            </w:r>
          </w:p>
        </w:tc>
      </w:tr>
      <w:tr w:rsidR="00AF3B08" w:rsidRPr="00947842">
        <w:trPr>
          <w:trHeight w:val="149"/>
        </w:trPr>
        <w:tc>
          <w:tcPr>
            <w:tcW w:w="0" w:type="auto"/>
            <w:vMerge/>
            <w:vAlign w:val="center"/>
          </w:tcPr>
          <w:p w:rsidR="00AF3B08" w:rsidRPr="00947842" w:rsidRDefault="00AF3B08" w:rsidP="0094784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B08" w:rsidRPr="00947842" w:rsidRDefault="00AF3B08" w:rsidP="00FB6738">
            <w:pPr>
              <w:ind w:firstLine="0"/>
            </w:pPr>
            <w:r w:rsidRPr="00947842">
              <w:t>Л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B08" w:rsidRPr="00947842" w:rsidRDefault="00AF3B08" w:rsidP="00947842">
            <w:r w:rsidRPr="00947842">
              <w:t> </w:t>
            </w:r>
          </w:p>
        </w:tc>
      </w:tr>
    </w:tbl>
    <w:p w:rsidR="00AF3B08" w:rsidRPr="00947842" w:rsidRDefault="00AF3B08" w:rsidP="00947842">
      <w:r w:rsidRPr="00947842">
        <w:t> </w:t>
      </w:r>
    </w:p>
    <w:p w:rsidR="00AF3B08" w:rsidRPr="00947842" w:rsidRDefault="00AF3B08" w:rsidP="00947842">
      <w:r w:rsidRPr="00947842">
        <w:t> </w:t>
      </w:r>
    </w:p>
    <w:p w:rsidR="00AF3B08" w:rsidRPr="00947842" w:rsidRDefault="00AF3B08" w:rsidP="00947842">
      <w:r w:rsidRPr="00947842">
        <w:t> </w:t>
      </w:r>
    </w:p>
    <w:p w:rsidR="00AF3B08" w:rsidRPr="00947842" w:rsidRDefault="00AF3B08" w:rsidP="00947842">
      <w:r w:rsidRPr="00947842">
        <w:t>О – фактический объем финансирования из средств областного бюджета по Муниципальной программе за отчетный год;</w:t>
      </w:r>
    </w:p>
    <w:p w:rsidR="00AF3B08" w:rsidRPr="00947842" w:rsidRDefault="00AF3B08" w:rsidP="00947842">
      <w:r w:rsidRPr="00947842">
        <w:t>Л – лимит бюджетных обязательств на реализацию Муниципальной</w:t>
      </w:r>
      <w:r>
        <w:t xml:space="preserve"> </w:t>
      </w:r>
      <w:r w:rsidRPr="00947842">
        <w:t>программы за отчетный год.</w:t>
      </w:r>
    </w:p>
    <w:p w:rsidR="00AF3B08" w:rsidRPr="00947842" w:rsidRDefault="00AF3B08" w:rsidP="00947842">
      <w:r w:rsidRPr="00947842">
        <w:t>Оценка эффективности использования средств областного бюджета (ОЭ) за отчетный год рассчитывается по формуле: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000"/>
      </w:tblPr>
      <w:tblGrid>
        <w:gridCol w:w="851"/>
        <w:gridCol w:w="675"/>
        <w:gridCol w:w="1701"/>
      </w:tblGrid>
      <w:tr w:rsidR="00AF3B08" w:rsidRPr="00947842">
        <w:trPr>
          <w:trHeight w:val="204"/>
        </w:trPr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B08" w:rsidRPr="00947842" w:rsidRDefault="00AF3B08" w:rsidP="00947842">
            <w:pPr>
              <w:ind w:firstLine="0"/>
            </w:pPr>
            <w:r w:rsidRPr="00947842">
              <w:t>ОЭ =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B08" w:rsidRPr="00947842" w:rsidRDefault="00AF3B08" w:rsidP="00FB6738">
            <w:pPr>
              <w:ind w:firstLine="0"/>
            </w:pPr>
            <w:r w:rsidRPr="00947842">
              <w:t>ЦП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B08" w:rsidRPr="00947842" w:rsidRDefault="00AF3B08" w:rsidP="00947842">
            <w:r w:rsidRPr="00947842">
              <w:t>х 100%, где:</w:t>
            </w:r>
          </w:p>
        </w:tc>
      </w:tr>
      <w:tr w:rsidR="00AF3B08" w:rsidRPr="00947842">
        <w:trPr>
          <w:trHeight w:val="546"/>
        </w:trPr>
        <w:tc>
          <w:tcPr>
            <w:tcW w:w="0" w:type="auto"/>
            <w:vMerge/>
            <w:vAlign w:val="center"/>
          </w:tcPr>
          <w:p w:rsidR="00AF3B08" w:rsidRPr="00947842" w:rsidRDefault="00AF3B08" w:rsidP="00947842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B08" w:rsidRPr="00947842" w:rsidRDefault="00AF3B08" w:rsidP="00FB6738">
            <w:pPr>
              <w:ind w:firstLine="0"/>
            </w:pPr>
            <w:bookmarkStart w:id="0" w:name="_GoBack"/>
            <w:bookmarkEnd w:id="0"/>
            <w:r w:rsidRPr="00947842">
              <w:t>БО</w:t>
            </w:r>
          </w:p>
        </w:tc>
        <w:tc>
          <w:tcPr>
            <w:tcW w:w="0" w:type="auto"/>
            <w:vMerge/>
            <w:vAlign w:val="center"/>
          </w:tcPr>
          <w:p w:rsidR="00AF3B08" w:rsidRPr="00947842" w:rsidRDefault="00AF3B08" w:rsidP="00947842"/>
        </w:tc>
      </w:tr>
    </w:tbl>
    <w:p w:rsidR="00AF3B08" w:rsidRPr="00947842" w:rsidRDefault="00AF3B08" w:rsidP="00947842">
      <w:r w:rsidRPr="00947842">
        <w:t> </w:t>
      </w:r>
    </w:p>
    <w:p w:rsidR="00AF3B08" w:rsidRPr="00947842" w:rsidRDefault="00AF3B08" w:rsidP="00947842">
      <w:r w:rsidRPr="00947842">
        <w:t> </w:t>
      </w:r>
    </w:p>
    <w:p w:rsidR="00AF3B08" w:rsidRPr="00947842" w:rsidRDefault="00AF3B08" w:rsidP="00947842">
      <w:r w:rsidRPr="00947842">
        <w:t> </w:t>
      </w:r>
    </w:p>
    <w:p w:rsidR="00AF3B08" w:rsidRPr="00947842" w:rsidRDefault="00AF3B08" w:rsidP="00947842">
      <w:r w:rsidRPr="00947842">
        <w:t>ЦП – показатель достижения плановых значений целевых показателей (индикаторов) в целом по Муниципальной программе;</w:t>
      </w:r>
    </w:p>
    <w:p w:rsidR="00AF3B08" w:rsidRPr="00947842" w:rsidRDefault="00AF3B08" w:rsidP="00947842">
      <w:r w:rsidRPr="00947842">
        <w:t>БО – показатель степени соответствия фактических объемов финансирования из средств областного бюджета на реализацию Муниципальной программы запланированному уровню.</w:t>
      </w:r>
    </w:p>
    <w:p w:rsidR="00AF3B08" w:rsidRPr="00947842" w:rsidRDefault="00AF3B08" w:rsidP="00947842">
      <w:r w:rsidRPr="00947842">
        <w:t>Оценка эффективности будет тем выше, чем выше уровень достижения плановых значений целевых показателей (индикаторов) и меньше уровень использования бюджетных средств.</w:t>
      </w:r>
    </w:p>
    <w:p w:rsidR="00AF3B08" w:rsidRPr="00947842" w:rsidRDefault="00AF3B08" w:rsidP="00947842">
      <w:r w:rsidRPr="00947842">
        <w:t>В целях оценки эффективности Муниципальной программы устанавливаются следующие критерии:</w:t>
      </w:r>
    </w:p>
    <w:p w:rsidR="00AF3B08" w:rsidRPr="00947842" w:rsidRDefault="00AF3B08" w:rsidP="00947842">
      <w:r w:rsidRPr="00947842">
        <w:t>если ОЭ больше 100%, то Муниципальная программа оценивается как высокоэффективная;</w:t>
      </w:r>
    </w:p>
    <w:p w:rsidR="00AF3B08" w:rsidRPr="00947842" w:rsidRDefault="00AF3B08" w:rsidP="00947842">
      <w:r w:rsidRPr="00947842">
        <w:t>если ОЭ составляет 75-100%, то Муниципальная программа оценивается как эффективная;</w:t>
      </w:r>
    </w:p>
    <w:p w:rsidR="00AF3B08" w:rsidRPr="00947842" w:rsidRDefault="00AF3B08" w:rsidP="00947842">
      <w:r w:rsidRPr="00947842">
        <w:t>если ОЭ составляет 60-74%, то уровень эффективности Муниципальной программы оценивается как удовлетворительный;</w:t>
      </w:r>
    </w:p>
    <w:p w:rsidR="00AF3B08" w:rsidRPr="00947842" w:rsidRDefault="00AF3B08" w:rsidP="00947842">
      <w:r w:rsidRPr="00947842">
        <w:t>если ОЭ меньше 60%, то Муниципальная программа оценивается как неэффективная.</w:t>
      </w:r>
    </w:p>
    <w:sectPr w:rsidR="00AF3B08" w:rsidRPr="00947842" w:rsidSect="0094784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309020205020404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9193C"/>
    <w:multiLevelType w:val="hybridMultilevel"/>
    <w:tmpl w:val="B25E4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956B57"/>
    <w:multiLevelType w:val="hybridMultilevel"/>
    <w:tmpl w:val="8B12C15E"/>
    <w:lvl w:ilvl="0" w:tplc="8AE627AE">
      <w:start w:val="1"/>
      <w:numFmt w:val="bullet"/>
      <w:lvlText w:val=""/>
      <w:lvlJc w:val="left"/>
      <w:pPr>
        <w:tabs>
          <w:tab w:val="num" w:pos="1791"/>
        </w:tabs>
        <w:ind w:left="179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0BF435C3"/>
    <w:multiLevelType w:val="hybridMultilevel"/>
    <w:tmpl w:val="AE6A89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C01D8D"/>
    <w:multiLevelType w:val="hybridMultilevel"/>
    <w:tmpl w:val="CBCE1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431044"/>
    <w:multiLevelType w:val="hybridMultilevel"/>
    <w:tmpl w:val="7F5EC7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13D0403C"/>
    <w:multiLevelType w:val="hybridMultilevel"/>
    <w:tmpl w:val="E82C8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E55D4D"/>
    <w:multiLevelType w:val="hybridMultilevel"/>
    <w:tmpl w:val="5194F002"/>
    <w:lvl w:ilvl="0" w:tplc="BFDAAEAE">
      <w:start w:val="1"/>
      <w:numFmt w:val="bullet"/>
      <w:lvlText w:val=""/>
      <w:lvlJc w:val="left"/>
      <w:pPr>
        <w:tabs>
          <w:tab w:val="num" w:pos="994"/>
        </w:tabs>
        <w:ind w:left="994" w:hanging="45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75685A"/>
    <w:multiLevelType w:val="hybridMultilevel"/>
    <w:tmpl w:val="16A89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C67EB9"/>
    <w:multiLevelType w:val="hybridMultilevel"/>
    <w:tmpl w:val="BFC223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0">
    <w:nsid w:val="1F6523CF"/>
    <w:multiLevelType w:val="hybridMultilevel"/>
    <w:tmpl w:val="5F50F7C4"/>
    <w:lvl w:ilvl="0" w:tplc="A3DA4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92836"/>
    <w:multiLevelType w:val="hybridMultilevel"/>
    <w:tmpl w:val="96966296"/>
    <w:lvl w:ilvl="0" w:tplc="495A5F3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C7003E"/>
    <w:multiLevelType w:val="hybridMultilevel"/>
    <w:tmpl w:val="42785AFA"/>
    <w:lvl w:ilvl="0" w:tplc="AC7808CE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3">
    <w:nsid w:val="22F67ABA"/>
    <w:multiLevelType w:val="hybridMultilevel"/>
    <w:tmpl w:val="FE862398"/>
    <w:lvl w:ilvl="0" w:tplc="495A5F3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A425F3A"/>
    <w:multiLevelType w:val="hybridMultilevel"/>
    <w:tmpl w:val="F104C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C1020B"/>
    <w:multiLevelType w:val="hybridMultilevel"/>
    <w:tmpl w:val="3EDCD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4A1B47"/>
    <w:multiLevelType w:val="hybridMultilevel"/>
    <w:tmpl w:val="360AA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B70C0F"/>
    <w:multiLevelType w:val="hybridMultilevel"/>
    <w:tmpl w:val="78804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8C544C"/>
    <w:multiLevelType w:val="hybridMultilevel"/>
    <w:tmpl w:val="849CCF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4CCC7247"/>
    <w:multiLevelType w:val="hybridMultilevel"/>
    <w:tmpl w:val="6F28D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D36690"/>
    <w:multiLevelType w:val="hybridMultilevel"/>
    <w:tmpl w:val="C9987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C339D8"/>
    <w:multiLevelType w:val="hybridMultilevel"/>
    <w:tmpl w:val="4F9A4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CC54C0"/>
    <w:multiLevelType w:val="multilevel"/>
    <w:tmpl w:val="DB2A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3">
    <w:nsid w:val="573E3ACF"/>
    <w:multiLevelType w:val="hybridMultilevel"/>
    <w:tmpl w:val="C9B256DC"/>
    <w:lvl w:ilvl="0" w:tplc="8AE627AE">
      <w:start w:val="1"/>
      <w:numFmt w:val="bullet"/>
      <w:lvlText w:val=""/>
      <w:lvlJc w:val="left"/>
      <w:pPr>
        <w:tabs>
          <w:tab w:val="num" w:pos="1791"/>
        </w:tabs>
        <w:ind w:left="1791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707668"/>
    <w:multiLevelType w:val="hybridMultilevel"/>
    <w:tmpl w:val="AC92085E"/>
    <w:lvl w:ilvl="0" w:tplc="8AE627AE">
      <w:start w:val="1"/>
      <w:numFmt w:val="bullet"/>
      <w:lvlText w:val=""/>
      <w:lvlJc w:val="left"/>
      <w:pPr>
        <w:tabs>
          <w:tab w:val="num" w:pos="1791"/>
        </w:tabs>
        <w:ind w:left="179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>
    <w:nsid w:val="5A29240B"/>
    <w:multiLevelType w:val="hybridMultilevel"/>
    <w:tmpl w:val="C4FED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2D4C33"/>
    <w:multiLevelType w:val="hybridMultilevel"/>
    <w:tmpl w:val="DA9294F2"/>
    <w:lvl w:ilvl="0" w:tplc="7A964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A8426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43E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48E3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EA5E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D0CB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DEB9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C25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1EDC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401169"/>
    <w:multiLevelType w:val="hybridMultilevel"/>
    <w:tmpl w:val="479E06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8">
    <w:nsid w:val="5E024327"/>
    <w:multiLevelType w:val="hybridMultilevel"/>
    <w:tmpl w:val="D00A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E117846"/>
    <w:multiLevelType w:val="hybridMultilevel"/>
    <w:tmpl w:val="A15249B0"/>
    <w:lvl w:ilvl="0" w:tplc="AC445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34306D"/>
    <w:multiLevelType w:val="hybridMultilevel"/>
    <w:tmpl w:val="21EA6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F17694"/>
    <w:multiLevelType w:val="hybridMultilevel"/>
    <w:tmpl w:val="AB4E45C8"/>
    <w:lvl w:ilvl="0" w:tplc="8AE627AE">
      <w:start w:val="1"/>
      <w:numFmt w:val="bullet"/>
      <w:lvlText w:val=""/>
      <w:lvlJc w:val="left"/>
      <w:pPr>
        <w:tabs>
          <w:tab w:val="num" w:pos="1791"/>
        </w:tabs>
        <w:ind w:left="1791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853A2C"/>
    <w:multiLevelType w:val="hybridMultilevel"/>
    <w:tmpl w:val="E5F0C642"/>
    <w:lvl w:ilvl="0" w:tplc="495A5F3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>
    <w:nsid w:val="6458562A"/>
    <w:multiLevelType w:val="hybridMultilevel"/>
    <w:tmpl w:val="BDF6FD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>
    <w:nsid w:val="680F5C72"/>
    <w:multiLevelType w:val="hybridMultilevel"/>
    <w:tmpl w:val="219EEC7C"/>
    <w:lvl w:ilvl="0" w:tplc="4C1E838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C56831"/>
    <w:multiLevelType w:val="hybridMultilevel"/>
    <w:tmpl w:val="9DF0A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872DA8"/>
    <w:multiLevelType w:val="hybridMultilevel"/>
    <w:tmpl w:val="7C04336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6EA74B63"/>
    <w:multiLevelType w:val="hybridMultilevel"/>
    <w:tmpl w:val="18E69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344D25"/>
    <w:multiLevelType w:val="hybridMultilevel"/>
    <w:tmpl w:val="9348C580"/>
    <w:lvl w:ilvl="0" w:tplc="495A5F3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E32F9"/>
    <w:multiLevelType w:val="hybridMultilevel"/>
    <w:tmpl w:val="88267EBE"/>
    <w:lvl w:ilvl="0" w:tplc="C11AA2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D9A51F7"/>
    <w:multiLevelType w:val="hybridMultilevel"/>
    <w:tmpl w:val="64162C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E0452C"/>
    <w:multiLevelType w:val="hybridMultilevel"/>
    <w:tmpl w:val="0A2A5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40BA0E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4"/>
  </w:num>
  <w:num w:numId="4">
    <w:abstractNumId w:val="32"/>
  </w:num>
  <w:num w:numId="5">
    <w:abstractNumId w:val="13"/>
  </w:num>
  <w:num w:numId="6">
    <w:abstractNumId w:val="38"/>
  </w:num>
  <w:num w:numId="7">
    <w:abstractNumId w:val="11"/>
  </w:num>
  <w:num w:numId="8">
    <w:abstractNumId w:val="21"/>
  </w:num>
  <w:num w:numId="9">
    <w:abstractNumId w:val="37"/>
  </w:num>
  <w:num w:numId="10">
    <w:abstractNumId w:val="34"/>
  </w:num>
  <w:num w:numId="11">
    <w:abstractNumId w:val="35"/>
  </w:num>
  <w:num w:numId="12">
    <w:abstractNumId w:val="41"/>
  </w:num>
  <w:num w:numId="13">
    <w:abstractNumId w:val="16"/>
  </w:num>
  <w:num w:numId="14">
    <w:abstractNumId w:val="29"/>
  </w:num>
  <w:num w:numId="15">
    <w:abstractNumId w:val="20"/>
  </w:num>
  <w:num w:numId="16">
    <w:abstractNumId w:val="15"/>
  </w:num>
  <w:num w:numId="17">
    <w:abstractNumId w:val="19"/>
  </w:num>
  <w:num w:numId="18">
    <w:abstractNumId w:val="12"/>
  </w:num>
  <w:num w:numId="19">
    <w:abstractNumId w:val="25"/>
  </w:num>
  <w:num w:numId="20">
    <w:abstractNumId w:val="1"/>
  </w:num>
  <w:num w:numId="21">
    <w:abstractNumId w:val="39"/>
  </w:num>
  <w:num w:numId="22">
    <w:abstractNumId w:val="3"/>
  </w:num>
  <w:num w:numId="23">
    <w:abstractNumId w:val="8"/>
  </w:num>
  <w:num w:numId="24">
    <w:abstractNumId w:val="18"/>
  </w:num>
  <w:num w:numId="25">
    <w:abstractNumId w:val="27"/>
  </w:num>
  <w:num w:numId="26">
    <w:abstractNumId w:val="9"/>
  </w:num>
  <w:num w:numId="27">
    <w:abstractNumId w:val="33"/>
  </w:num>
  <w:num w:numId="28">
    <w:abstractNumId w:val="5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4"/>
  </w:num>
  <w:num w:numId="32">
    <w:abstractNumId w:val="23"/>
  </w:num>
  <w:num w:numId="33">
    <w:abstractNumId w:val="31"/>
  </w:num>
  <w:num w:numId="34">
    <w:abstractNumId w:val="17"/>
  </w:num>
  <w:num w:numId="35">
    <w:abstractNumId w:val="22"/>
  </w:num>
  <w:num w:numId="36">
    <w:abstractNumId w:val="40"/>
  </w:num>
  <w:num w:numId="37">
    <w:abstractNumId w:val="6"/>
  </w:num>
  <w:num w:numId="38">
    <w:abstractNumId w:val="7"/>
  </w:num>
  <w:num w:numId="39">
    <w:abstractNumId w:val="36"/>
  </w:num>
  <w:num w:numId="40">
    <w:abstractNumId w:val="10"/>
  </w:num>
  <w:num w:numId="41">
    <w:abstractNumId w:val="0"/>
  </w:num>
  <w:num w:numId="42">
    <w:abstractNumId w:val="28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C52"/>
    <w:rsid w:val="00030F9C"/>
    <w:rsid w:val="000409D4"/>
    <w:rsid w:val="00044D84"/>
    <w:rsid w:val="000731BE"/>
    <w:rsid w:val="000819B0"/>
    <w:rsid w:val="000875FA"/>
    <w:rsid w:val="000D0268"/>
    <w:rsid w:val="000D1CD0"/>
    <w:rsid w:val="000D6615"/>
    <w:rsid w:val="000E4E5C"/>
    <w:rsid w:val="00101FC8"/>
    <w:rsid w:val="00114F20"/>
    <w:rsid w:val="00126385"/>
    <w:rsid w:val="001270B7"/>
    <w:rsid w:val="0013088F"/>
    <w:rsid w:val="0018794C"/>
    <w:rsid w:val="001A2D4D"/>
    <w:rsid w:val="001F3B61"/>
    <w:rsid w:val="0020435A"/>
    <w:rsid w:val="002230F7"/>
    <w:rsid w:val="002241ED"/>
    <w:rsid w:val="0023170A"/>
    <w:rsid w:val="002345AD"/>
    <w:rsid w:val="00273996"/>
    <w:rsid w:val="002870C5"/>
    <w:rsid w:val="00287327"/>
    <w:rsid w:val="00287AE4"/>
    <w:rsid w:val="00293995"/>
    <w:rsid w:val="002B512E"/>
    <w:rsid w:val="002F1B97"/>
    <w:rsid w:val="002F3A81"/>
    <w:rsid w:val="003009E6"/>
    <w:rsid w:val="00300CC0"/>
    <w:rsid w:val="00325E94"/>
    <w:rsid w:val="00337163"/>
    <w:rsid w:val="00366833"/>
    <w:rsid w:val="003958FE"/>
    <w:rsid w:val="00397FE2"/>
    <w:rsid w:val="003C486A"/>
    <w:rsid w:val="00405995"/>
    <w:rsid w:val="00414665"/>
    <w:rsid w:val="00423DF2"/>
    <w:rsid w:val="00444C9E"/>
    <w:rsid w:val="00480AC9"/>
    <w:rsid w:val="00481556"/>
    <w:rsid w:val="00492BCD"/>
    <w:rsid w:val="00492C59"/>
    <w:rsid w:val="004934A3"/>
    <w:rsid w:val="004A5964"/>
    <w:rsid w:val="004C74A0"/>
    <w:rsid w:val="004E4376"/>
    <w:rsid w:val="004F1319"/>
    <w:rsid w:val="00525B2E"/>
    <w:rsid w:val="00532B2E"/>
    <w:rsid w:val="00544DF6"/>
    <w:rsid w:val="005652BD"/>
    <w:rsid w:val="005907ED"/>
    <w:rsid w:val="005A1167"/>
    <w:rsid w:val="005B554F"/>
    <w:rsid w:val="005B5D87"/>
    <w:rsid w:val="005B7594"/>
    <w:rsid w:val="005B7C52"/>
    <w:rsid w:val="005C3272"/>
    <w:rsid w:val="005D748A"/>
    <w:rsid w:val="005F2147"/>
    <w:rsid w:val="005F2677"/>
    <w:rsid w:val="005F3262"/>
    <w:rsid w:val="00620C44"/>
    <w:rsid w:val="00623477"/>
    <w:rsid w:val="00624250"/>
    <w:rsid w:val="006314D1"/>
    <w:rsid w:val="0063158C"/>
    <w:rsid w:val="006402C8"/>
    <w:rsid w:val="006421F3"/>
    <w:rsid w:val="00642905"/>
    <w:rsid w:val="00644EA8"/>
    <w:rsid w:val="00650B05"/>
    <w:rsid w:val="00662ECE"/>
    <w:rsid w:val="00665EEC"/>
    <w:rsid w:val="00673C1E"/>
    <w:rsid w:val="006746F6"/>
    <w:rsid w:val="00675523"/>
    <w:rsid w:val="00675CD8"/>
    <w:rsid w:val="00677D2E"/>
    <w:rsid w:val="00685065"/>
    <w:rsid w:val="006875C4"/>
    <w:rsid w:val="006A277A"/>
    <w:rsid w:val="006A68CC"/>
    <w:rsid w:val="006B41E1"/>
    <w:rsid w:val="006C0093"/>
    <w:rsid w:val="006C17AE"/>
    <w:rsid w:val="006E0D57"/>
    <w:rsid w:val="007103C3"/>
    <w:rsid w:val="00725C94"/>
    <w:rsid w:val="0073450E"/>
    <w:rsid w:val="0075544E"/>
    <w:rsid w:val="00773B56"/>
    <w:rsid w:val="007866EE"/>
    <w:rsid w:val="007D4BB5"/>
    <w:rsid w:val="007E27FE"/>
    <w:rsid w:val="007E3179"/>
    <w:rsid w:val="007E41EE"/>
    <w:rsid w:val="008126F3"/>
    <w:rsid w:val="008570AA"/>
    <w:rsid w:val="00895B9C"/>
    <w:rsid w:val="008A4EB7"/>
    <w:rsid w:val="008D29EF"/>
    <w:rsid w:val="008D4149"/>
    <w:rsid w:val="008D5205"/>
    <w:rsid w:val="009323FF"/>
    <w:rsid w:val="009360B3"/>
    <w:rsid w:val="00943E09"/>
    <w:rsid w:val="00947842"/>
    <w:rsid w:val="00952907"/>
    <w:rsid w:val="0097093F"/>
    <w:rsid w:val="0097186F"/>
    <w:rsid w:val="009763E3"/>
    <w:rsid w:val="00981221"/>
    <w:rsid w:val="009B6DD7"/>
    <w:rsid w:val="009C13A7"/>
    <w:rsid w:val="009C3CD4"/>
    <w:rsid w:val="009C4F58"/>
    <w:rsid w:val="009E62D9"/>
    <w:rsid w:val="00A17294"/>
    <w:rsid w:val="00A35774"/>
    <w:rsid w:val="00A40102"/>
    <w:rsid w:val="00A64B23"/>
    <w:rsid w:val="00AF1B65"/>
    <w:rsid w:val="00AF3B08"/>
    <w:rsid w:val="00B00998"/>
    <w:rsid w:val="00B0218E"/>
    <w:rsid w:val="00B13521"/>
    <w:rsid w:val="00B275F3"/>
    <w:rsid w:val="00B30B40"/>
    <w:rsid w:val="00B578A0"/>
    <w:rsid w:val="00B604CA"/>
    <w:rsid w:val="00B617A7"/>
    <w:rsid w:val="00BA360E"/>
    <w:rsid w:val="00BD2A2D"/>
    <w:rsid w:val="00BE0E44"/>
    <w:rsid w:val="00C264BF"/>
    <w:rsid w:val="00C26FA6"/>
    <w:rsid w:val="00C44A4A"/>
    <w:rsid w:val="00C57499"/>
    <w:rsid w:val="00C74F8E"/>
    <w:rsid w:val="00C76526"/>
    <w:rsid w:val="00CB3B3A"/>
    <w:rsid w:val="00CD5FAB"/>
    <w:rsid w:val="00CD7DFC"/>
    <w:rsid w:val="00CE099D"/>
    <w:rsid w:val="00CE4F90"/>
    <w:rsid w:val="00CF5E02"/>
    <w:rsid w:val="00D36270"/>
    <w:rsid w:val="00D77425"/>
    <w:rsid w:val="00D86320"/>
    <w:rsid w:val="00D9028C"/>
    <w:rsid w:val="00D927D7"/>
    <w:rsid w:val="00DA1ED5"/>
    <w:rsid w:val="00DB5721"/>
    <w:rsid w:val="00DC58B0"/>
    <w:rsid w:val="00DE027C"/>
    <w:rsid w:val="00DE117F"/>
    <w:rsid w:val="00DE476A"/>
    <w:rsid w:val="00DE7F93"/>
    <w:rsid w:val="00DF2751"/>
    <w:rsid w:val="00E34209"/>
    <w:rsid w:val="00E55C52"/>
    <w:rsid w:val="00E577AF"/>
    <w:rsid w:val="00E64938"/>
    <w:rsid w:val="00E77D98"/>
    <w:rsid w:val="00E80352"/>
    <w:rsid w:val="00EB4439"/>
    <w:rsid w:val="00EB49B4"/>
    <w:rsid w:val="00ED69F7"/>
    <w:rsid w:val="00EE7B0E"/>
    <w:rsid w:val="00EF48C7"/>
    <w:rsid w:val="00F10BC5"/>
    <w:rsid w:val="00F21203"/>
    <w:rsid w:val="00F2571F"/>
    <w:rsid w:val="00F35A2A"/>
    <w:rsid w:val="00F41822"/>
    <w:rsid w:val="00F4668C"/>
    <w:rsid w:val="00F763CF"/>
    <w:rsid w:val="00F768B1"/>
    <w:rsid w:val="00F949D0"/>
    <w:rsid w:val="00FB36C9"/>
    <w:rsid w:val="00FB6738"/>
    <w:rsid w:val="00FE4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Variable" w:unhideWhenUsed="0"/>
    <w:lsdException w:name="Table List 3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!Обычный текст документа"/>
    <w:qFormat/>
    <w:rsid w:val="00947842"/>
    <w:pPr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947842"/>
    <w:pPr>
      <w:jc w:val="center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947842"/>
    <w:pPr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947842"/>
    <w:pPr>
      <w:outlineLvl w:val="2"/>
    </w:pPr>
    <w:rPr>
      <w:b/>
      <w:bCs/>
      <w:sz w:val="28"/>
      <w:szCs w:val="28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947842"/>
    <w:pPr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rsid w:val="0094784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rsid w:val="00947842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rsid w:val="00947842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9"/>
    <w:rsid w:val="002230F7"/>
    <w:rPr>
      <w:rFonts w:ascii="Arial" w:hAnsi="Arial" w:cs="Arial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230F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2230F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uiPriority w:val="99"/>
    <w:rsid w:val="002230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2230F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2230F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230F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2230F7"/>
  </w:style>
  <w:style w:type="paragraph" w:customStyle="1" w:styleId="CharChar">
    <w:name w:val="Char Char"/>
    <w:basedOn w:val="Normal"/>
    <w:uiPriority w:val="99"/>
    <w:rsid w:val="002230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2230F7"/>
    <w:pPr>
      <w:ind w:left="720"/>
    </w:pPr>
  </w:style>
  <w:style w:type="paragraph" w:customStyle="1" w:styleId="consplusnormal0">
    <w:name w:val="consplusnormal"/>
    <w:basedOn w:val="Normal"/>
    <w:uiPriority w:val="99"/>
    <w:rsid w:val="002230F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8570AA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AA"/>
    <w:rPr>
      <w:rFonts w:ascii="Segoe UI" w:hAnsi="Segoe UI" w:cs="Segoe UI"/>
      <w:sz w:val="18"/>
      <w:szCs w:val="18"/>
      <w:lang w:eastAsia="ru-RU"/>
    </w:rPr>
  </w:style>
  <w:style w:type="table" w:styleId="TableList3">
    <w:name w:val="Table List 3"/>
    <w:basedOn w:val="TableNormal"/>
    <w:uiPriority w:val="99"/>
    <w:rsid w:val="000D6615"/>
    <w:rPr>
      <w:rFonts w:ascii="Arial" w:hAnsi="Arial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Variable">
    <w:name w:val="HTML Variable"/>
    <w:aliases w:val="!Ссылки в документе"/>
    <w:basedOn w:val="DefaultParagraphFont"/>
    <w:uiPriority w:val="99"/>
    <w:rsid w:val="00947842"/>
    <w:rPr>
      <w:rFonts w:ascii="Arial" w:hAnsi="Arial" w:cs="Arial"/>
      <w:color w:val="0000FF"/>
      <w:sz w:val="24"/>
      <w:szCs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semiHidden/>
    <w:rsid w:val="00947842"/>
    <w:rPr>
      <w:rFonts w:ascii="Courier" w:hAnsi="Courier" w:cs="Courier"/>
      <w:sz w:val="22"/>
      <w:szCs w:val="22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semiHidden/>
    <w:rsid w:val="00947842"/>
    <w:rPr>
      <w:rFonts w:ascii="Courier" w:hAnsi="Courier" w:cs="Courier"/>
      <w:sz w:val="22"/>
      <w:szCs w:val="22"/>
    </w:rPr>
  </w:style>
  <w:style w:type="paragraph" w:customStyle="1" w:styleId="Title">
    <w:name w:val="Title!Название НПА"/>
    <w:basedOn w:val="Normal"/>
    <w:uiPriority w:val="99"/>
    <w:rsid w:val="00947842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947842"/>
    <w:rPr>
      <w:rFonts w:cs="Times New Roman"/>
      <w:color w:val="0000FF"/>
      <w:u w:val="none"/>
    </w:rPr>
  </w:style>
  <w:style w:type="paragraph" w:customStyle="1" w:styleId="Application">
    <w:name w:val="Application!Приложение"/>
    <w:uiPriority w:val="99"/>
    <w:rsid w:val="0094784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947842"/>
    <w:rPr>
      <w:rFonts w:ascii="Arial" w:eastAsia="Times New Roman" w:hAnsi="Arial" w:cs="Arial"/>
      <w:kern w:val="28"/>
      <w:sz w:val="24"/>
      <w:szCs w:val="24"/>
    </w:rPr>
  </w:style>
  <w:style w:type="paragraph" w:customStyle="1" w:styleId="Table0">
    <w:name w:val="Table!"/>
    <w:next w:val="Table"/>
    <w:uiPriority w:val="99"/>
    <w:rsid w:val="00947842"/>
    <w:pPr>
      <w:jc w:val="center"/>
    </w:pPr>
    <w:rPr>
      <w:rFonts w:ascii="Arial" w:eastAsia="Times New Roman" w:hAnsi="Arial" w:cs="Arial"/>
      <w:b/>
      <w:bCs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15</Pages>
  <Words>3896</Words>
  <Characters>22209</Characters>
  <Application>Microsoft Office Outlook</Application>
  <DocSecurity>0</DocSecurity>
  <Lines>0</Lines>
  <Paragraphs>0</Paragraphs>
  <ScaleCrop>false</ScaleCrop>
  <Company>Здравпункт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</dc:creator>
  <cp:keywords/>
  <dc:description/>
  <cp:lastModifiedBy>Трегубов Дмитрий</cp:lastModifiedBy>
  <cp:revision>2</cp:revision>
  <cp:lastPrinted>2015-10-14T09:15:00Z</cp:lastPrinted>
  <dcterms:created xsi:type="dcterms:W3CDTF">2015-10-30T01:35:00Z</dcterms:created>
  <dcterms:modified xsi:type="dcterms:W3CDTF">2015-10-30T02:02:00Z</dcterms:modified>
</cp:coreProperties>
</file>