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21" w:rsidRPr="00CE0000" w:rsidRDefault="00887521" w:rsidP="00CE0000">
      <w:pPr>
        <w:jc w:val="right"/>
        <w:rPr>
          <w:b/>
          <w:bCs/>
          <w:kern w:val="28"/>
          <w:sz w:val="32"/>
          <w:szCs w:val="32"/>
        </w:rPr>
      </w:pPr>
      <w:r w:rsidRPr="00CE0000">
        <w:rPr>
          <w:b/>
          <w:bCs/>
          <w:kern w:val="28"/>
          <w:sz w:val="32"/>
          <w:szCs w:val="32"/>
        </w:rPr>
        <w:t>Утверждена</w:t>
      </w:r>
    </w:p>
    <w:p w:rsidR="00887521" w:rsidRPr="00CE0000" w:rsidRDefault="00887521" w:rsidP="00CE0000">
      <w:pPr>
        <w:jc w:val="right"/>
        <w:rPr>
          <w:b/>
          <w:bCs/>
          <w:kern w:val="28"/>
          <w:sz w:val="32"/>
          <w:szCs w:val="32"/>
        </w:rPr>
      </w:pPr>
      <w:r w:rsidRPr="00CE0000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87521" w:rsidRPr="00CE0000" w:rsidRDefault="00887521" w:rsidP="00CE0000">
      <w:pPr>
        <w:jc w:val="right"/>
        <w:rPr>
          <w:b/>
          <w:bCs/>
          <w:kern w:val="28"/>
          <w:sz w:val="32"/>
          <w:szCs w:val="32"/>
        </w:rPr>
      </w:pPr>
      <w:r w:rsidRPr="00CE000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87521" w:rsidRPr="00CE0000" w:rsidRDefault="00887521" w:rsidP="00CE0000">
      <w:pPr>
        <w:jc w:val="right"/>
        <w:rPr>
          <w:b/>
          <w:bCs/>
          <w:kern w:val="28"/>
          <w:sz w:val="32"/>
          <w:szCs w:val="32"/>
        </w:rPr>
      </w:pPr>
      <w:r w:rsidRPr="00CE0000">
        <w:rPr>
          <w:b/>
          <w:bCs/>
          <w:kern w:val="28"/>
          <w:sz w:val="32"/>
          <w:szCs w:val="32"/>
        </w:rPr>
        <w:t>от 10.10.2013 г. №1439</w:t>
      </w:r>
    </w:p>
    <w:p w:rsidR="00887521" w:rsidRPr="00CE0000" w:rsidRDefault="00887521" w:rsidP="00CE0000">
      <w:pPr>
        <w:jc w:val="center"/>
        <w:rPr>
          <w:b/>
          <w:bCs/>
          <w:kern w:val="32"/>
          <w:sz w:val="32"/>
          <w:szCs w:val="32"/>
        </w:rPr>
      </w:pPr>
    </w:p>
    <w:p w:rsidR="00887521" w:rsidRPr="00CE0000" w:rsidRDefault="00887521" w:rsidP="00CE0000">
      <w:pPr>
        <w:jc w:val="center"/>
        <w:rPr>
          <w:b/>
          <w:bCs/>
          <w:kern w:val="32"/>
          <w:sz w:val="32"/>
          <w:szCs w:val="32"/>
        </w:rPr>
      </w:pPr>
      <w:r w:rsidRPr="00CE0000">
        <w:rPr>
          <w:b/>
          <w:bCs/>
          <w:kern w:val="32"/>
          <w:sz w:val="32"/>
          <w:szCs w:val="32"/>
        </w:rPr>
        <w:t>Целевая программа «Развитие и обновление кадрового потенциала в образовательных учреждениях Крапивинского муниципального района» на 2014-2016 годы</w:t>
      </w:r>
    </w:p>
    <w:p w:rsidR="00887521" w:rsidRPr="00CE0000" w:rsidRDefault="00887521" w:rsidP="00CE0000"/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  <w:r w:rsidRPr="00CE0000">
        <w:rPr>
          <w:b/>
          <w:bCs/>
          <w:sz w:val="30"/>
          <w:szCs w:val="30"/>
        </w:rPr>
        <w:t>Паспорт целевой программы «Развитие и обновление кадрового потенциала в образовательных учреждениях Крапивинского муниципального района» на 2014-2016 годы</w:t>
      </w:r>
    </w:p>
    <w:p w:rsidR="00887521" w:rsidRPr="00CE0000" w:rsidRDefault="00887521" w:rsidP="00CE0000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580"/>
      </w:tblGrid>
      <w:tr w:rsidR="00887521" w:rsidRPr="00CE0000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0"/>
            </w:pPr>
            <w:r w:rsidRPr="00CE0000">
              <w:t>Наименование программы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0"/>
            </w:pPr>
            <w:r w:rsidRPr="00CE0000">
              <w:t>Целевая программа «Развитие и обновление кадрового потенциала в образовательных учреждениях Крапивинского муниципального района»</w:t>
            </w:r>
            <w:r>
              <w:t xml:space="preserve"> </w:t>
            </w:r>
            <w:r w:rsidRPr="00CE0000">
              <w:t>на 2014-2016 годы</w:t>
            </w:r>
          </w:p>
        </w:tc>
      </w:tr>
      <w:tr w:rsidR="00887521" w:rsidRPr="00CE0000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Директор программы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Заместитель главы Крапивинского муниципального района Т. Х. Биккулов</w:t>
            </w:r>
          </w:p>
        </w:tc>
      </w:tr>
      <w:tr w:rsidR="00887521" w:rsidRPr="00CE0000"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Ответственный исполнитель (координатор) программы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Управление образования администрации Крапивинского муниципального района </w:t>
            </w:r>
          </w:p>
        </w:tc>
      </w:tr>
      <w:tr w:rsidR="00887521" w:rsidRPr="00CE0000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Исполнители программы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МБОУ ДПО «Информационно-методический центр Крапивинского муниципального района», муниципальные образовательные учреждения Крапивинского района</w:t>
            </w:r>
          </w:p>
        </w:tc>
      </w:tr>
      <w:tr w:rsidR="00887521" w:rsidRPr="00CE0000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Цели программы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Обновление и укрепление кадрового потенциала в сфере образования;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Создание условий для совершенствования профессионального мастерства педагогических работников;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Поднятие престижа профессии учитель</w:t>
            </w:r>
          </w:p>
        </w:tc>
      </w:tr>
      <w:tr w:rsidR="00887521" w:rsidRPr="00CE0000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Задачи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Изучение потребности педагогических кадров в ОУ;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Изучение потребности педагогов в повышении квалификации;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Формирование инновационной культуры педагогов и руководителей ОУ;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Организация консультативной поддержки педагогов;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Формирование у педагогов потребностей в обучении и саморазвитии;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Оказание районной поддержки молодым педагогам района</w:t>
            </w:r>
          </w:p>
        </w:tc>
      </w:tr>
      <w:tr w:rsidR="00887521" w:rsidRPr="00CE0000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Срок реализации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2014-2016 годы</w:t>
            </w:r>
          </w:p>
        </w:tc>
      </w:tr>
      <w:tr w:rsidR="00887521" w:rsidRPr="00CE0000"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Объемы и источники финансирования программы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Поддержка молодым и талантливым педагогам реализуется за счет бюджетных средств района, выделяемых на реализацию муниципальной программы «Адресная поддержка молодых специалистов, талантливых педагогов и одарённых детей Крапивинского муниципального района» на 2014–2016 годы, в виде целевых премий, грантов, поощрений и единовременных выплат</w:t>
            </w:r>
          </w:p>
        </w:tc>
      </w:tr>
      <w:tr w:rsidR="00887521" w:rsidRPr="00CE0000"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Ожидаемые конечные результаты реализации программы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521" w:rsidRPr="00CE0000" w:rsidRDefault="00887521" w:rsidP="00CE0000">
            <w:pPr>
              <w:pStyle w:val="Table"/>
            </w:pPr>
            <w:r w:rsidRPr="00CE0000">
              <w:t>Повышение уровня профессионального педагогического мастерства педагогических работников;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Развитие педагогической инициативы и творчества;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Повышение качества научно-методической работы с педагогами;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Создание банка педагогического передового опыта;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Укомплектование муниципальных образовательных учреждений квалифицированными кадрами;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Рост чувства уверенности и профессиональной защиты педагогических работников;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Обеспечение социальной и профессиональной поддержки молодых специалистов в сфере образования.</w:t>
            </w:r>
          </w:p>
        </w:tc>
      </w:tr>
    </w:tbl>
    <w:p w:rsidR="00887521" w:rsidRPr="00CE0000" w:rsidRDefault="00887521" w:rsidP="00CE0000"/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  <w:r w:rsidRPr="00CE0000">
        <w:rPr>
          <w:b/>
          <w:bCs/>
          <w:sz w:val="30"/>
          <w:szCs w:val="30"/>
        </w:rPr>
        <w:t>1. Содержание проблемы и необходимость ее решения программными методами</w:t>
      </w:r>
    </w:p>
    <w:p w:rsidR="00887521" w:rsidRPr="00CE0000" w:rsidRDefault="00887521" w:rsidP="00CE0000"/>
    <w:p w:rsidR="00887521" w:rsidRPr="00CE0000" w:rsidRDefault="00887521" w:rsidP="00CE0000">
      <w:r w:rsidRPr="00CE0000">
        <w:t>Современная образовательная сеть Крапивинского муниципального района характеризуется многообразием видов учреждений, что позволяет удовлетворять различные образовательные и воспитательные потребности детей, подростков, молодежи. В настоящее время в районе действуют 39 разнопрофильных учреждений, из которых 16 общеобразовательных, 19 дошкольных образовательных, 3 учреждения дополнительного образования детей и Центр диагностики и консультирования.</w:t>
      </w:r>
    </w:p>
    <w:p w:rsidR="00887521" w:rsidRPr="00CE0000" w:rsidRDefault="00887521" w:rsidP="00CE0000">
      <w:r w:rsidRPr="00CE0000">
        <w:t>В районной системе образования занято 510 педагогических работников: -288 педагогов в общеобразовательных учреждениях; 164 - в дошкольных образовательных учреждениях; 58 – в учреждениях дополнительного образования.</w:t>
      </w:r>
    </w:p>
    <w:p w:rsidR="00887521" w:rsidRPr="00CE0000" w:rsidRDefault="00887521" w:rsidP="00CE0000">
      <w:r w:rsidRPr="00CE0000">
        <w:t>Одной из главных задач образовательных учреждений района, управления образования является совершенствование организации кадровой работы по обеспечению образовательных учреждений высококвалифицированными кадрами.</w:t>
      </w:r>
    </w:p>
    <w:p w:rsidR="00887521" w:rsidRPr="00CE0000" w:rsidRDefault="00887521" w:rsidP="00CE0000">
      <w:r w:rsidRPr="00CE0000">
        <w:t>С высшим образованием работает 311 педагогов, что составляет 61 % от общего количества педагогов, работающих в образовательных учреждениях района, со средним профессиональным – 186 (36%), без образования – 13 (3 %).</w:t>
      </w:r>
    </w:p>
    <w:p w:rsidR="00887521" w:rsidRPr="00CE0000" w:rsidRDefault="00887521" w:rsidP="00CE0000">
      <w:r w:rsidRPr="00CE0000">
        <w:t>В условиях модернизации системы образования выросли требования к качественному составу педагогических и руководящих кадров с учетом уровня специального педагогического образования и показателей профессиональной компетентности. Интересен факт распределения педагогических работников по стажу педагогической деятельности, сохраняется тенденция к преобладанию педагогов имеющих значительный стаж работы в образовании (стаж свыше 20 лет) -249 человек, что составляет 49 %.</w:t>
      </w:r>
    </w:p>
    <w:p w:rsidR="00887521" w:rsidRPr="00CE0000" w:rsidRDefault="00887521" w:rsidP="00CE000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8"/>
        <w:gridCol w:w="2981"/>
        <w:gridCol w:w="2981"/>
      </w:tblGrid>
      <w:tr w:rsidR="00887521" w:rsidRPr="00CE0000">
        <w:trPr>
          <w:trHeight w:val="280"/>
          <w:jc w:val="center"/>
        </w:trPr>
        <w:tc>
          <w:tcPr>
            <w:tcW w:w="2362" w:type="dxa"/>
            <w:noWrap/>
            <w:vAlign w:val="center"/>
          </w:tcPr>
          <w:p w:rsidR="00887521" w:rsidRPr="00CE0000" w:rsidRDefault="00887521" w:rsidP="00CE0000">
            <w:pPr>
              <w:pStyle w:val="Table0"/>
            </w:pPr>
            <w:r w:rsidRPr="00CE0000">
              <w:t>По стажу работы</w:t>
            </w:r>
          </w:p>
        </w:tc>
        <w:tc>
          <w:tcPr>
            <w:tcW w:w="1952" w:type="dxa"/>
            <w:noWrap/>
            <w:vAlign w:val="center"/>
          </w:tcPr>
          <w:p w:rsidR="00887521" w:rsidRPr="00CE0000" w:rsidRDefault="00887521" w:rsidP="00CE0000">
            <w:pPr>
              <w:pStyle w:val="Table0"/>
            </w:pPr>
            <w:r w:rsidRPr="00CE0000">
              <w:t>Количество (чел.)</w:t>
            </w:r>
          </w:p>
        </w:tc>
        <w:tc>
          <w:tcPr>
            <w:tcW w:w="1952" w:type="dxa"/>
          </w:tcPr>
          <w:p w:rsidR="00887521" w:rsidRPr="00CE0000" w:rsidRDefault="00887521" w:rsidP="00CE0000">
            <w:pPr>
              <w:pStyle w:val="Table0"/>
            </w:pPr>
            <w:r w:rsidRPr="00CE0000">
              <w:t>Процентное соотношение</w:t>
            </w:r>
          </w:p>
        </w:tc>
      </w:tr>
      <w:tr w:rsidR="00887521" w:rsidRPr="00CE0000">
        <w:trPr>
          <w:trHeight w:val="280"/>
          <w:jc w:val="center"/>
        </w:trPr>
        <w:tc>
          <w:tcPr>
            <w:tcW w:w="236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до 2-х лет</w:t>
            </w:r>
          </w:p>
        </w:tc>
        <w:tc>
          <w:tcPr>
            <w:tcW w:w="195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44</w:t>
            </w:r>
          </w:p>
        </w:tc>
        <w:tc>
          <w:tcPr>
            <w:tcW w:w="1952" w:type="dxa"/>
          </w:tcPr>
          <w:p w:rsidR="00887521" w:rsidRPr="00CE0000" w:rsidRDefault="00887521" w:rsidP="00CE0000">
            <w:pPr>
              <w:pStyle w:val="Table"/>
            </w:pPr>
            <w:r w:rsidRPr="00CE0000">
              <w:t>9%</w:t>
            </w:r>
          </w:p>
        </w:tc>
      </w:tr>
      <w:tr w:rsidR="00887521" w:rsidRPr="00CE0000">
        <w:trPr>
          <w:trHeight w:val="280"/>
          <w:jc w:val="center"/>
        </w:trPr>
        <w:tc>
          <w:tcPr>
            <w:tcW w:w="236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от 2 до 5 лет</w:t>
            </w:r>
          </w:p>
        </w:tc>
        <w:tc>
          <w:tcPr>
            <w:tcW w:w="195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53</w:t>
            </w:r>
          </w:p>
        </w:tc>
        <w:tc>
          <w:tcPr>
            <w:tcW w:w="1952" w:type="dxa"/>
          </w:tcPr>
          <w:p w:rsidR="00887521" w:rsidRPr="00CE0000" w:rsidRDefault="00887521" w:rsidP="00CE0000">
            <w:pPr>
              <w:pStyle w:val="Table"/>
            </w:pPr>
            <w:r w:rsidRPr="00CE0000">
              <w:t>10%</w:t>
            </w:r>
          </w:p>
        </w:tc>
      </w:tr>
      <w:tr w:rsidR="00887521" w:rsidRPr="00CE0000">
        <w:trPr>
          <w:trHeight w:val="280"/>
          <w:jc w:val="center"/>
        </w:trPr>
        <w:tc>
          <w:tcPr>
            <w:tcW w:w="236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от 5 до 10 лет</w:t>
            </w:r>
          </w:p>
        </w:tc>
        <w:tc>
          <w:tcPr>
            <w:tcW w:w="195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56</w:t>
            </w:r>
          </w:p>
        </w:tc>
        <w:tc>
          <w:tcPr>
            <w:tcW w:w="1952" w:type="dxa"/>
          </w:tcPr>
          <w:p w:rsidR="00887521" w:rsidRPr="00CE0000" w:rsidRDefault="00887521" w:rsidP="00CE0000">
            <w:pPr>
              <w:pStyle w:val="Table"/>
            </w:pPr>
            <w:r w:rsidRPr="00CE0000">
              <w:t>11%</w:t>
            </w:r>
          </w:p>
        </w:tc>
      </w:tr>
      <w:tr w:rsidR="00887521" w:rsidRPr="00CE0000">
        <w:trPr>
          <w:trHeight w:val="280"/>
          <w:jc w:val="center"/>
        </w:trPr>
        <w:tc>
          <w:tcPr>
            <w:tcW w:w="236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от 10 до 20 лет</w:t>
            </w:r>
          </w:p>
        </w:tc>
        <w:tc>
          <w:tcPr>
            <w:tcW w:w="1952" w:type="dxa"/>
            <w:noWrap/>
            <w:vAlign w:val="center"/>
          </w:tcPr>
          <w:p w:rsidR="00887521" w:rsidRPr="00CE0000" w:rsidRDefault="00887521" w:rsidP="00CE0000">
            <w:pPr>
              <w:pStyle w:val="Table"/>
              <w:rPr>
                <w:highlight w:val="yellow"/>
              </w:rPr>
            </w:pPr>
            <w:r w:rsidRPr="00CE0000">
              <w:t>108</w:t>
            </w:r>
          </w:p>
        </w:tc>
        <w:tc>
          <w:tcPr>
            <w:tcW w:w="1952" w:type="dxa"/>
          </w:tcPr>
          <w:p w:rsidR="00887521" w:rsidRPr="00CE0000" w:rsidRDefault="00887521" w:rsidP="00CE0000">
            <w:pPr>
              <w:pStyle w:val="Table"/>
            </w:pPr>
            <w:r w:rsidRPr="00CE0000">
              <w:t>21%</w:t>
            </w:r>
          </w:p>
        </w:tc>
      </w:tr>
      <w:tr w:rsidR="00887521" w:rsidRPr="00CE0000">
        <w:trPr>
          <w:trHeight w:val="280"/>
          <w:jc w:val="center"/>
        </w:trPr>
        <w:tc>
          <w:tcPr>
            <w:tcW w:w="2362" w:type="dxa"/>
            <w:noWrap/>
            <w:vAlign w:val="center"/>
          </w:tcPr>
          <w:p w:rsidR="00887521" w:rsidRPr="00CE0000" w:rsidRDefault="00887521" w:rsidP="00CE0000">
            <w:pPr>
              <w:pStyle w:val="Table"/>
            </w:pPr>
            <w:r w:rsidRPr="00CE0000">
              <w:t>свыше 20 лет</w:t>
            </w:r>
          </w:p>
        </w:tc>
        <w:tc>
          <w:tcPr>
            <w:tcW w:w="1952" w:type="dxa"/>
            <w:noWrap/>
            <w:vAlign w:val="center"/>
          </w:tcPr>
          <w:p w:rsidR="00887521" w:rsidRPr="00CE0000" w:rsidRDefault="00887521" w:rsidP="00CE0000">
            <w:pPr>
              <w:pStyle w:val="Table"/>
              <w:rPr>
                <w:highlight w:val="yellow"/>
              </w:rPr>
            </w:pPr>
            <w:r w:rsidRPr="00CE0000">
              <w:t>249</w:t>
            </w:r>
          </w:p>
        </w:tc>
        <w:tc>
          <w:tcPr>
            <w:tcW w:w="1952" w:type="dxa"/>
          </w:tcPr>
          <w:p w:rsidR="00887521" w:rsidRPr="00CE0000" w:rsidRDefault="00887521" w:rsidP="00CE0000">
            <w:pPr>
              <w:pStyle w:val="Table"/>
            </w:pPr>
            <w:r w:rsidRPr="00CE0000">
              <w:t>49%</w:t>
            </w:r>
          </w:p>
        </w:tc>
      </w:tr>
    </w:tbl>
    <w:p w:rsidR="00887521" w:rsidRPr="00CE0000" w:rsidRDefault="00887521" w:rsidP="00CE0000"/>
    <w:p w:rsidR="00887521" w:rsidRPr="00CE0000" w:rsidRDefault="00887521" w:rsidP="00CE0000">
      <w:r w:rsidRPr="00CE0000">
        <w:t xml:space="preserve">Система поддержки и поощрения педагогических кадров проходит в форме присуждения званий и наград за заслуги в деле обучения и воспитания подрастающего поколения. Награждены всего 58 педагогов нагрудным знаком «Почётный работник общего образования РФ». 10 педагогов образовательных учреждений имеют звание «Заслуженный учитель»; награждены: нагрудным значком «Отличник народного просвещения» - 90 педагогов. </w:t>
      </w:r>
    </w:p>
    <w:p w:rsidR="00887521" w:rsidRPr="00CE0000" w:rsidRDefault="00887521" w:rsidP="00CE0000">
      <w:r w:rsidRPr="00CE0000">
        <w:t>Проведя мониторинг педагогического состава по возрасту определили, что больше всего работающих в возрасте 35-55 лет – 289 педагогов; 99 чел.- в возрасте 25-35 лет; до 25 лет -26 педагогов, из них 13 молодых специалистов; и число работающих пенсионеров составляет- 96 чел. (категория от 55 и старше).</w:t>
      </w:r>
    </w:p>
    <w:p w:rsidR="00887521" w:rsidRPr="00CE0000" w:rsidRDefault="00887521" w:rsidP="00CE0000">
      <w:r w:rsidRPr="00CE0000">
        <w:t>Таким образом, количество педагогических работников пенсионного возраста в образовательных учре</w:t>
      </w:r>
      <w:r>
        <w:t>ждениях района составляет 19 %.</w:t>
      </w:r>
    </w:p>
    <w:p w:rsidR="00887521" w:rsidRPr="00CE0000" w:rsidRDefault="00887521" w:rsidP="00CE0000">
      <w:r w:rsidRPr="00CE0000">
        <w:t>Ежегодное пополнение кадрами проходит за счет молодых специалистов окончивших учебные заведения. По состоянию на 01.09.2013 года в образовательных учреждениях Крапивинского района работают 13 молодых специалистов. В 2013 году в образовательные учреждения района пришли 4 молодых специалиста.</w:t>
      </w:r>
    </w:p>
    <w:p w:rsidR="00887521" w:rsidRPr="00CE0000" w:rsidRDefault="00887521" w:rsidP="00CE0000">
      <w:r w:rsidRPr="00CE0000">
        <w:t>В районе создана муниципальная целевая программа поддержки молодых специалистов на 2013-2015 г.г. Молодой специалист по этой программе получает единовременную выплату в размере 10000 рублей.</w:t>
      </w:r>
    </w:p>
    <w:p w:rsidR="00887521" w:rsidRPr="00CE0000" w:rsidRDefault="00887521" w:rsidP="00CE0000">
      <w:r w:rsidRPr="00CE0000">
        <w:t>Ежегодно выплачивается:</w:t>
      </w:r>
    </w:p>
    <w:p w:rsidR="00887521" w:rsidRPr="00CE0000" w:rsidRDefault="00887521" w:rsidP="00CE0000">
      <w:r w:rsidRPr="00CE0000">
        <w:t>-</w:t>
      </w:r>
      <w:r>
        <w:t xml:space="preserve"> </w:t>
      </w:r>
      <w:r w:rsidRPr="00CE0000">
        <w:t>единовременное социальное пособие от Губернатора Кемеровской области молодым специалистам, закончившим высшие учебные заведения 30 тыс. руб., средние специальные – 20 тыс. руб.;</w:t>
      </w:r>
    </w:p>
    <w:p w:rsidR="00887521" w:rsidRPr="00CE0000" w:rsidRDefault="00887521" w:rsidP="00CE0000">
      <w:r w:rsidRPr="00CE0000">
        <w:t>-</w:t>
      </w:r>
      <w:r>
        <w:t xml:space="preserve"> </w:t>
      </w:r>
      <w:r w:rsidRPr="00CE0000">
        <w:t>ежемесячные доплаты в размере 850 рублей – получают молодые специалисты, работающие первый год; от 1-2лет -640 рублей, от 1 до 3 лет-420; специалисты, окончившие обучение с красным дипломом – 1060 рублей;</w:t>
      </w:r>
    </w:p>
    <w:p w:rsidR="00887521" w:rsidRPr="00CE0000" w:rsidRDefault="00887521" w:rsidP="00CE0000">
      <w:r w:rsidRPr="00CE0000">
        <w:t>- молодым специалистам предоставляется возможность получить беспроцентный кредит на жильё.</w:t>
      </w:r>
    </w:p>
    <w:p w:rsidR="00887521" w:rsidRPr="00CE0000" w:rsidRDefault="00887521" w:rsidP="00CE0000">
      <w:r w:rsidRPr="00CE0000">
        <w:t>В каждом образовательном учреждении составлен план работы с молодыми педагогами, разработано положение о наставничестве, за каждым молодым специалистом в образовательном учреждении закреплён наставник.</w:t>
      </w:r>
    </w:p>
    <w:p w:rsidR="00887521" w:rsidRPr="00CE0000" w:rsidRDefault="00887521" w:rsidP="00CE0000">
      <w:r w:rsidRPr="00CE0000">
        <w:t>Стимулом к повышению престижа учительской профессии стала аттестация педагогических и управленческих кадров – периодическое подтверждение квалификации педагога, её соответствия задачам, стоящим перед школой.</w:t>
      </w:r>
    </w:p>
    <w:p w:rsidR="00887521" w:rsidRPr="00CE0000" w:rsidRDefault="00887521" w:rsidP="00CE0000">
      <w:r w:rsidRPr="00CE0000">
        <w:t xml:space="preserve">В 2013 году в образовательных учреждениях района работает 510 чел., из них планируют пройти аттестацию 51 педагог школы, 40 воспитателей, 13 педагогов дополнительного образования - все вместе составит 20 % . Из них 4 молодых специалиста прошли аттестацию в 2013 году, 10 руководящих работника прошли аттестацию профессиональной компетентности руководящих работников ОУ. </w:t>
      </w:r>
    </w:p>
    <w:p w:rsidR="00887521" w:rsidRPr="00CE0000" w:rsidRDefault="00887521" w:rsidP="00CE0000"/>
    <w:p w:rsidR="00887521" w:rsidRPr="00CE0000" w:rsidRDefault="00887521" w:rsidP="00CE0000">
      <w:r w:rsidRPr="00CE0000">
        <w:t>Количество педагогических кадров по квалификации:</w:t>
      </w:r>
    </w:p>
    <w:p w:rsidR="00887521" w:rsidRPr="00CE0000" w:rsidRDefault="00887521" w:rsidP="00CE000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2058"/>
        <w:gridCol w:w="2058"/>
        <w:gridCol w:w="2058"/>
        <w:gridCol w:w="1839"/>
      </w:tblGrid>
      <w:tr w:rsidR="00887521" w:rsidRPr="00CE0000">
        <w:tc>
          <w:tcPr>
            <w:tcW w:w="1828" w:type="dxa"/>
          </w:tcPr>
          <w:p w:rsidR="00887521" w:rsidRPr="00CE0000" w:rsidRDefault="00887521" w:rsidP="00CE0000">
            <w:pPr>
              <w:pStyle w:val="Table0"/>
            </w:pPr>
            <w:r w:rsidRPr="00CE0000">
              <w:t>Всего</w:t>
            </w:r>
          </w:p>
        </w:tc>
        <w:tc>
          <w:tcPr>
            <w:tcW w:w="2058" w:type="dxa"/>
          </w:tcPr>
          <w:p w:rsidR="00887521" w:rsidRPr="00CE0000" w:rsidRDefault="00887521" w:rsidP="00CE0000">
            <w:pPr>
              <w:pStyle w:val="Table0"/>
            </w:pPr>
            <w:r w:rsidRPr="00CE0000">
              <w:t>Высшая категория</w:t>
            </w:r>
          </w:p>
        </w:tc>
        <w:tc>
          <w:tcPr>
            <w:tcW w:w="2058" w:type="dxa"/>
          </w:tcPr>
          <w:p w:rsidR="00887521" w:rsidRPr="00CE0000" w:rsidRDefault="00887521" w:rsidP="00CE0000">
            <w:pPr>
              <w:pStyle w:val="Table0"/>
            </w:pPr>
            <w:r w:rsidRPr="00CE0000">
              <w:t>Первая категория</w:t>
            </w:r>
          </w:p>
        </w:tc>
        <w:tc>
          <w:tcPr>
            <w:tcW w:w="2058" w:type="dxa"/>
          </w:tcPr>
          <w:p w:rsidR="00887521" w:rsidRPr="00CE0000" w:rsidRDefault="00887521" w:rsidP="00CE0000">
            <w:pPr>
              <w:pStyle w:val="Table0"/>
            </w:pPr>
            <w:r w:rsidRPr="00CE0000">
              <w:t>Вторая категория</w:t>
            </w:r>
          </w:p>
        </w:tc>
        <w:tc>
          <w:tcPr>
            <w:tcW w:w="1839" w:type="dxa"/>
          </w:tcPr>
          <w:p w:rsidR="00887521" w:rsidRPr="00CE0000" w:rsidRDefault="00887521" w:rsidP="00CE0000">
            <w:pPr>
              <w:pStyle w:val="Table0"/>
            </w:pPr>
            <w:r w:rsidRPr="00CE0000">
              <w:t>Не имеющих категории; соответствие занимаемой должности</w:t>
            </w:r>
          </w:p>
        </w:tc>
      </w:tr>
      <w:tr w:rsidR="00887521" w:rsidRPr="00CE0000">
        <w:tc>
          <w:tcPr>
            <w:tcW w:w="1828" w:type="dxa"/>
          </w:tcPr>
          <w:p w:rsidR="00887521" w:rsidRPr="00CE0000" w:rsidRDefault="00887521" w:rsidP="00CE0000">
            <w:pPr>
              <w:pStyle w:val="Table"/>
            </w:pPr>
            <w:r w:rsidRPr="00CE0000">
              <w:t>510</w:t>
            </w:r>
          </w:p>
        </w:tc>
        <w:tc>
          <w:tcPr>
            <w:tcW w:w="2058" w:type="dxa"/>
          </w:tcPr>
          <w:p w:rsidR="00887521" w:rsidRPr="00CE0000" w:rsidRDefault="00887521" w:rsidP="00CE0000">
            <w:pPr>
              <w:pStyle w:val="Table"/>
            </w:pPr>
            <w:r w:rsidRPr="00CE0000">
              <w:t>108</w:t>
            </w:r>
          </w:p>
        </w:tc>
        <w:tc>
          <w:tcPr>
            <w:tcW w:w="2058" w:type="dxa"/>
          </w:tcPr>
          <w:p w:rsidR="00887521" w:rsidRPr="00CE0000" w:rsidRDefault="00887521" w:rsidP="00CE0000">
            <w:pPr>
              <w:pStyle w:val="Table"/>
            </w:pPr>
            <w:r w:rsidRPr="00CE0000">
              <w:t>230</w:t>
            </w:r>
          </w:p>
        </w:tc>
        <w:tc>
          <w:tcPr>
            <w:tcW w:w="2058" w:type="dxa"/>
          </w:tcPr>
          <w:p w:rsidR="00887521" w:rsidRPr="00CE0000" w:rsidRDefault="00887521" w:rsidP="00CE0000">
            <w:pPr>
              <w:pStyle w:val="Table"/>
            </w:pPr>
            <w:r w:rsidRPr="00CE0000">
              <w:t>81</w:t>
            </w:r>
          </w:p>
        </w:tc>
        <w:tc>
          <w:tcPr>
            <w:tcW w:w="1839" w:type="dxa"/>
          </w:tcPr>
          <w:p w:rsidR="00887521" w:rsidRPr="00CE0000" w:rsidRDefault="00887521" w:rsidP="00CE0000">
            <w:pPr>
              <w:pStyle w:val="Table"/>
            </w:pPr>
            <w:r w:rsidRPr="00CE0000">
              <w:t>91</w:t>
            </w:r>
          </w:p>
        </w:tc>
      </w:tr>
    </w:tbl>
    <w:p w:rsidR="00887521" w:rsidRPr="00CE0000" w:rsidRDefault="00887521" w:rsidP="00CE0000"/>
    <w:p w:rsidR="00887521" w:rsidRPr="00CE0000" w:rsidRDefault="00887521" w:rsidP="00CE0000">
      <w:r w:rsidRPr="00CE0000">
        <w:t>Конкурсное движение является неотъемлемой частью повышения доступности качественного образования при эффективном использовании финансовых ресурсов.</w:t>
      </w:r>
    </w:p>
    <w:p w:rsidR="00887521" w:rsidRPr="00CE0000" w:rsidRDefault="00887521" w:rsidP="00CE0000">
      <w:r w:rsidRPr="00CE0000">
        <w:t>За последние годы педагоги района стали активными участниками конкурсного движения. В 2012 – 2013 учебном году они принимали участие в конкурсах различного уровня.</w:t>
      </w:r>
    </w:p>
    <w:p w:rsidR="00887521" w:rsidRPr="00CE0000" w:rsidRDefault="00887521" w:rsidP="00CE0000">
      <w:r w:rsidRPr="00CE0000">
        <w:t xml:space="preserve">Участие в конкурсах способствует росту мастерства педагогов, от которых во многом зависит интеллектуальный потенциал подрастающего поколения. </w:t>
      </w:r>
    </w:p>
    <w:p w:rsidR="00887521" w:rsidRPr="00CE0000" w:rsidRDefault="00887521" w:rsidP="00CE0000">
      <w:r w:rsidRPr="00CE0000">
        <w:t>Подготовка к участию в конкурсе помогает систематизировать накопленный опыт работы, осознать, чем педагог может поделиться с коллегами.</w:t>
      </w:r>
    </w:p>
    <w:p w:rsidR="00887521" w:rsidRPr="00CE0000" w:rsidRDefault="00887521" w:rsidP="00CE0000">
      <w:r w:rsidRPr="00CE0000">
        <w:t>Поддержка талантливых педагогов Крапивинского района поможет стимулировать увеличение количество участников конкурсного движения, а также будет способствовать повышению качества образования в образовательных учреждениях, поскольку талантливые педагоги смогут поделиться своим опытом и достижениями с коллегами.</w:t>
      </w:r>
    </w:p>
    <w:p w:rsidR="00887521" w:rsidRPr="00CE0000" w:rsidRDefault="00887521" w:rsidP="00CE0000">
      <w:r w:rsidRPr="00CE0000">
        <w:t>В настоящее время в районе увеличивается число педагогов и руководителей пенсионного возраста, тогда как развитие общества на современном этапе требует вовлечения в систему образования наиболее развитых, неординарно мыслящих, владеющих современными технологиями людей, которые могут быть подготовлены только высокопрофессиональными педагогами, владеющими современными технологиями обучения.</w:t>
      </w:r>
    </w:p>
    <w:p w:rsidR="00887521" w:rsidRPr="00CE0000" w:rsidRDefault="00887521" w:rsidP="00CE0000">
      <w:r w:rsidRPr="00CE0000">
        <w:t>В связи с этим основными проблемами кадрового обеспечения сферы образования района, требующего программного решения являются:</w:t>
      </w:r>
    </w:p>
    <w:p w:rsidR="00887521" w:rsidRPr="00CE0000" w:rsidRDefault="00887521" w:rsidP="00CE0000">
      <w:bookmarkStart w:id="0" w:name="_GoBack"/>
      <w:bookmarkEnd w:id="0"/>
      <w:r w:rsidRPr="00CE0000">
        <w:t xml:space="preserve">обеспечение сбалансированной подготовки учащихся общеобразовательных учреждений в учебные заведения педагогической направленности; </w:t>
      </w:r>
    </w:p>
    <w:p w:rsidR="00887521" w:rsidRPr="00CE0000" w:rsidRDefault="00887521" w:rsidP="00CE0000">
      <w:r w:rsidRPr="00CE0000">
        <w:t xml:space="preserve">создание стимулов для закрепления выпускников учреждений высшего и среднего профессионального педагогического образования в образовательных учреждениях района; </w:t>
      </w:r>
    </w:p>
    <w:p w:rsidR="00887521" w:rsidRPr="00CE0000" w:rsidRDefault="00887521" w:rsidP="00CE0000">
      <w:r w:rsidRPr="00CE0000">
        <w:t>предотвращение оттока квалифицированных педагогических работников в иные сферы деятельности.</w:t>
      </w:r>
    </w:p>
    <w:p w:rsidR="00887521" w:rsidRDefault="00887521" w:rsidP="00CE0000">
      <w:r w:rsidRPr="00CE0000">
        <w:t>Принятие Программы будет способствовать решению вышеназванных проблем, дальнейшему развитию кадрового потенциала в сфере образования района.</w:t>
      </w:r>
    </w:p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</w:p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  <w:r w:rsidRPr="00CE0000">
        <w:rPr>
          <w:b/>
          <w:bCs/>
          <w:sz w:val="30"/>
          <w:szCs w:val="30"/>
        </w:rPr>
        <w:t>2. Цели и задачи Программы</w:t>
      </w:r>
    </w:p>
    <w:p w:rsidR="00887521" w:rsidRPr="00CE0000" w:rsidRDefault="00887521" w:rsidP="00CE0000"/>
    <w:p w:rsidR="00887521" w:rsidRPr="00CE0000" w:rsidRDefault="00887521" w:rsidP="00CE0000">
      <w:r w:rsidRPr="00CE0000">
        <w:t>Целью программы является обновление и укрепление кадрового потенциала в сфере образования, создание условий для совершенствования профессионального мастерства педагогических работников, поднятие престижа профессии учитель.</w:t>
      </w:r>
    </w:p>
    <w:p w:rsidR="00887521" w:rsidRPr="00CE0000" w:rsidRDefault="00887521" w:rsidP="00CE0000">
      <w:r w:rsidRPr="00CE0000">
        <w:t>Для достижения цели программы необходимо решить следующие задачи:</w:t>
      </w:r>
    </w:p>
    <w:p w:rsidR="00887521" w:rsidRPr="00CE0000" w:rsidRDefault="00887521" w:rsidP="00CE0000">
      <w:r w:rsidRPr="00CE0000">
        <w:t>Изучение потребности педагогических кадров в ОУ;</w:t>
      </w:r>
    </w:p>
    <w:p w:rsidR="00887521" w:rsidRPr="00CE0000" w:rsidRDefault="00887521" w:rsidP="00CE0000">
      <w:r w:rsidRPr="00CE0000">
        <w:t>Изучение потребности педагогов в повышении квалификации;</w:t>
      </w:r>
    </w:p>
    <w:p w:rsidR="00887521" w:rsidRPr="00CE0000" w:rsidRDefault="00887521" w:rsidP="00CE0000">
      <w:r w:rsidRPr="00CE0000">
        <w:t>Формирование инновационной культуры педагогов и руководителей ОУ;</w:t>
      </w:r>
    </w:p>
    <w:p w:rsidR="00887521" w:rsidRPr="00CE0000" w:rsidRDefault="00887521" w:rsidP="00CE0000">
      <w:r w:rsidRPr="00CE0000">
        <w:t>Организация консультативной поддержки педагогов;</w:t>
      </w:r>
    </w:p>
    <w:p w:rsidR="00887521" w:rsidRPr="00CE0000" w:rsidRDefault="00887521" w:rsidP="00CE0000">
      <w:r w:rsidRPr="00CE0000">
        <w:t>Формирование у педагогов потребностей в обучении и саморазвитии;</w:t>
      </w:r>
    </w:p>
    <w:p w:rsidR="00887521" w:rsidRPr="00CE0000" w:rsidRDefault="00887521" w:rsidP="00CE0000">
      <w:r w:rsidRPr="00CE0000">
        <w:t>Оказание районной поддержки молодым педагогам района.</w:t>
      </w:r>
    </w:p>
    <w:p w:rsidR="00887521" w:rsidRDefault="00887521" w:rsidP="00CE0000">
      <w:pPr>
        <w:jc w:val="center"/>
        <w:rPr>
          <w:b/>
          <w:bCs/>
          <w:sz w:val="30"/>
          <w:szCs w:val="30"/>
        </w:rPr>
      </w:pPr>
    </w:p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  <w:r w:rsidRPr="00CE0000">
        <w:rPr>
          <w:b/>
          <w:bCs/>
          <w:sz w:val="30"/>
          <w:szCs w:val="30"/>
        </w:rPr>
        <w:t>3. Ресурсное обеспечение Программы</w:t>
      </w:r>
    </w:p>
    <w:p w:rsidR="00887521" w:rsidRPr="00CE0000" w:rsidRDefault="00887521" w:rsidP="00CE0000"/>
    <w:p w:rsidR="00887521" w:rsidRPr="00CE0000" w:rsidRDefault="00887521" w:rsidP="00CE0000">
      <w:r w:rsidRPr="00CE0000">
        <w:t>Финансирование программных мероприятий по оказанию поддержки молодым специалистам и талантливым педагогам, осуществляется за счет средств местного бюджета, выделяемых на реализацию муниципальной программы «Адресная поддержка молодых специалистов, талантливых педагогов и одарённых детей Крапивинского муниципального района» на 2014–2016 годы, в виде целевых премий, грантов, поощрений и единовременных выплат.</w:t>
      </w:r>
    </w:p>
    <w:p w:rsidR="00887521" w:rsidRPr="00CE0000" w:rsidRDefault="00887521" w:rsidP="00CE0000"/>
    <w:p w:rsidR="00887521" w:rsidRPr="00CE0000" w:rsidRDefault="00887521" w:rsidP="00CE0000">
      <w:pPr>
        <w:jc w:val="center"/>
      </w:pPr>
      <w:r w:rsidRPr="00CE0000">
        <w:rPr>
          <w:b/>
          <w:bCs/>
          <w:sz w:val="30"/>
          <w:szCs w:val="30"/>
        </w:rPr>
        <w:t>4. Оценка эффективности реализации Программы</w:t>
      </w:r>
    </w:p>
    <w:p w:rsidR="00887521" w:rsidRPr="00CE0000" w:rsidRDefault="00887521" w:rsidP="00CE0000"/>
    <w:p w:rsidR="00887521" w:rsidRPr="00CE0000" w:rsidRDefault="00887521" w:rsidP="00CE0000">
      <w:r w:rsidRPr="00CE0000">
        <w:t xml:space="preserve">Ожидаемые результаты: </w:t>
      </w:r>
    </w:p>
    <w:p w:rsidR="00887521" w:rsidRPr="00CE0000" w:rsidRDefault="00887521" w:rsidP="00CE0000">
      <w:r w:rsidRPr="00CE0000">
        <w:t>Повышение уровня профессионального педагогического мастерства педагогических работников;</w:t>
      </w:r>
    </w:p>
    <w:p w:rsidR="00887521" w:rsidRPr="00CE0000" w:rsidRDefault="00887521" w:rsidP="00CE0000">
      <w:r w:rsidRPr="00CE0000">
        <w:t>Развитие педагогической инициативы и творчества;</w:t>
      </w:r>
    </w:p>
    <w:p w:rsidR="00887521" w:rsidRPr="00CE0000" w:rsidRDefault="00887521" w:rsidP="00CE0000">
      <w:r w:rsidRPr="00CE0000">
        <w:t>Повышение качества научно-методической работы с педагогами;</w:t>
      </w:r>
    </w:p>
    <w:p w:rsidR="00887521" w:rsidRPr="00CE0000" w:rsidRDefault="00887521" w:rsidP="00CE0000">
      <w:r w:rsidRPr="00CE0000">
        <w:t>Создание банка педагогического передового опыта;</w:t>
      </w:r>
    </w:p>
    <w:p w:rsidR="00887521" w:rsidRPr="00CE0000" w:rsidRDefault="00887521" w:rsidP="00CE0000">
      <w:r w:rsidRPr="00CE0000">
        <w:t>Укомплектование муниципальных образовательных учреждений квалифицированными кадрами;</w:t>
      </w:r>
    </w:p>
    <w:p w:rsidR="00887521" w:rsidRPr="00CE0000" w:rsidRDefault="00887521" w:rsidP="00CE0000">
      <w:r w:rsidRPr="00CE0000">
        <w:t>Рост чувства уверенности и профессиональной защиты педагогических работников;</w:t>
      </w:r>
    </w:p>
    <w:p w:rsidR="00887521" w:rsidRPr="00CE0000" w:rsidRDefault="00887521" w:rsidP="00CE0000">
      <w:r w:rsidRPr="00CE0000">
        <w:t>Обеспечение социальной и профессиональной поддержки молодых специалистов в сфере образования.</w:t>
      </w:r>
    </w:p>
    <w:p w:rsidR="00887521" w:rsidRPr="00CE0000" w:rsidRDefault="00887521" w:rsidP="00CE0000">
      <w:pPr>
        <w:rPr>
          <w:highlight w:val="yellow"/>
        </w:rPr>
      </w:pPr>
    </w:p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  <w:r w:rsidRPr="00CE0000">
        <w:rPr>
          <w:b/>
          <w:bCs/>
          <w:sz w:val="30"/>
          <w:szCs w:val="30"/>
        </w:rPr>
        <w:t>5. Организация управления программой и контроль за ходом ее реализации</w:t>
      </w:r>
    </w:p>
    <w:p w:rsidR="00887521" w:rsidRPr="00CE0000" w:rsidRDefault="00887521" w:rsidP="00CE0000"/>
    <w:p w:rsidR="00887521" w:rsidRPr="00CE0000" w:rsidRDefault="00887521" w:rsidP="00CE0000">
      <w:r w:rsidRPr="00CE0000">
        <w:t>Управление реализацией целевой программы осуществляет директор целевой программы.</w:t>
      </w:r>
    </w:p>
    <w:p w:rsidR="00887521" w:rsidRPr="00CE0000" w:rsidRDefault="00887521" w:rsidP="00CE0000">
      <w:r w:rsidRPr="00CE0000">
        <w:t>Директор программы несет ответственность за достижение значений целевых показателей (индикаторов) муниципальной программы, координацию разработки, исполнение целевой программы.</w:t>
      </w:r>
    </w:p>
    <w:p w:rsidR="00887521" w:rsidRPr="00CE0000" w:rsidRDefault="00887521" w:rsidP="00CE0000">
      <w:r w:rsidRPr="00CE0000">
        <w:t>Текущее управление реализацией целевой программы осуществляет ответственный исполнитель (координатор) совместно с исполнителями целевой программы.</w:t>
      </w:r>
    </w:p>
    <w:p w:rsidR="00887521" w:rsidRPr="00CE0000" w:rsidRDefault="00887521" w:rsidP="00CE0000">
      <w:r w:rsidRPr="00CE0000">
        <w:t>Контроль за реализацией целевой программы осуществляет глава Крапивинского муниципального района.</w:t>
      </w:r>
    </w:p>
    <w:p w:rsidR="00887521" w:rsidRPr="00CE0000" w:rsidRDefault="00887521" w:rsidP="00CE0000">
      <w:r w:rsidRPr="00CE0000">
        <w:t>Для обеспечения мониторинга реализации программы, ответственный исполнитель (координатор) целевой программы представляет в отдел экономического развития администрации Крапивинского муниципального района информацию о результатах оценки эффективности программы за отчетный год с предложениями по дальнейшей ее реализации, пояснительную записку с оценкой влияния вклада результатов в решение задач и достижение целей целевой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887521" w:rsidRPr="00CE0000" w:rsidRDefault="00887521" w:rsidP="00CE0000"/>
    <w:p w:rsidR="00887521" w:rsidRPr="00CE0000" w:rsidRDefault="00887521" w:rsidP="00CE0000">
      <w:pPr>
        <w:jc w:val="center"/>
        <w:rPr>
          <w:b/>
          <w:bCs/>
          <w:sz w:val="30"/>
          <w:szCs w:val="30"/>
        </w:rPr>
      </w:pPr>
      <w:r w:rsidRPr="00CE0000">
        <w:rPr>
          <w:b/>
          <w:bCs/>
          <w:sz w:val="30"/>
          <w:szCs w:val="30"/>
        </w:rPr>
        <w:t>6. Система Программных мероприятий</w:t>
      </w:r>
    </w:p>
    <w:p w:rsidR="00887521" w:rsidRPr="00CE0000" w:rsidRDefault="00887521" w:rsidP="00CE000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2530"/>
        <w:gridCol w:w="1215"/>
        <w:gridCol w:w="1563"/>
        <w:gridCol w:w="1503"/>
        <w:gridCol w:w="2185"/>
      </w:tblGrid>
      <w:tr w:rsidR="00887521" w:rsidRPr="00CE0000">
        <w:trPr>
          <w:trHeight w:val="322"/>
        </w:trPr>
        <w:tc>
          <w:tcPr>
            <w:tcW w:w="606" w:type="dxa"/>
            <w:vMerge w:val="restart"/>
            <w:vAlign w:val="center"/>
          </w:tcPr>
          <w:p w:rsidR="00887521" w:rsidRPr="00CE0000" w:rsidRDefault="00887521" w:rsidP="00CE0000">
            <w:pPr>
              <w:pStyle w:val="Table0"/>
            </w:pPr>
            <w:r w:rsidRPr="00CE0000">
              <w:t>№п/п</w:t>
            </w:r>
          </w:p>
        </w:tc>
        <w:tc>
          <w:tcPr>
            <w:tcW w:w="2742" w:type="dxa"/>
            <w:vMerge w:val="restart"/>
            <w:vAlign w:val="center"/>
          </w:tcPr>
          <w:p w:rsidR="00887521" w:rsidRPr="00CE0000" w:rsidRDefault="00887521" w:rsidP="00CE0000">
            <w:pPr>
              <w:pStyle w:val="Table0"/>
            </w:pPr>
            <w:r w:rsidRPr="00CE0000">
              <w:t>Перечень мероприятий</w:t>
            </w:r>
          </w:p>
        </w:tc>
        <w:tc>
          <w:tcPr>
            <w:tcW w:w="1306" w:type="dxa"/>
            <w:vMerge w:val="restart"/>
            <w:vAlign w:val="center"/>
          </w:tcPr>
          <w:p w:rsidR="00887521" w:rsidRPr="00CE0000" w:rsidRDefault="00887521" w:rsidP="00CE0000">
            <w:pPr>
              <w:pStyle w:val="Table0"/>
            </w:pPr>
            <w:r w:rsidRPr="00CE0000">
              <w:t xml:space="preserve">Исполнители </w:t>
            </w:r>
          </w:p>
        </w:tc>
        <w:tc>
          <w:tcPr>
            <w:tcW w:w="1686" w:type="dxa"/>
            <w:vMerge w:val="restart"/>
          </w:tcPr>
          <w:p w:rsidR="00887521" w:rsidRPr="00CE0000" w:rsidRDefault="00887521" w:rsidP="00CE0000">
            <w:pPr>
              <w:pStyle w:val="Table0"/>
            </w:pPr>
            <w:r w:rsidRPr="00CE0000">
              <w:t>Источники финансир</w:t>
            </w:r>
            <w:r>
              <w:t>ования</w:t>
            </w:r>
          </w:p>
        </w:tc>
        <w:tc>
          <w:tcPr>
            <w:tcW w:w="1620" w:type="dxa"/>
            <w:vMerge w:val="restart"/>
          </w:tcPr>
          <w:p w:rsidR="00887521" w:rsidRPr="00CE0000" w:rsidRDefault="00887521" w:rsidP="00CE0000">
            <w:pPr>
              <w:pStyle w:val="Table0"/>
            </w:pPr>
            <w:r w:rsidRPr="00CE0000">
              <w:t>Сроки выполнения</w:t>
            </w:r>
            <w:r>
              <w:t xml:space="preserve"> </w:t>
            </w:r>
            <w:r w:rsidRPr="00CE0000">
              <w:t>2014-2016</w:t>
            </w:r>
          </w:p>
        </w:tc>
        <w:tc>
          <w:tcPr>
            <w:tcW w:w="2365" w:type="dxa"/>
            <w:vMerge w:val="restart"/>
          </w:tcPr>
          <w:p w:rsidR="00887521" w:rsidRPr="00CE0000" w:rsidRDefault="00887521" w:rsidP="00CE0000">
            <w:pPr>
              <w:pStyle w:val="Table"/>
              <w:rPr>
                <w:b/>
                <w:bCs/>
              </w:rPr>
            </w:pPr>
            <w:r w:rsidRPr="00CE0000">
              <w:rPr>
                <w:b/>
                <w:bCs/>
              </w:rPr>
              <w:t>Ожидаемый результат</w:t>
            </w:r>
          </w:p>
        </w:tc>
      </w:tr>
      <w:tr w:rsidR="00887521" w:rsidRPr="00CE0000">
        <w:trPr>
          <w:trHeight w:val="322"/>
        </w:trPr>
        <w:tc>
          <w:tcPr>
            <w:tcW w:w="606" w:type="dxa"/>
            <w:vMerge/>
            <w:vAlign w:val="center"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2742" w:type="dxa"/>
            <w:vMerge/>
            <w:vAlign w:val="center"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1306" w:type="dxa"/>
            <w:vMerge/>
            <w:vAlign w:val="center"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1686" w:type="dxa"/>
            <w:vMerge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1620" w:type="dxa"/>
            <w:vMerge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2365" w:type="dxa"/>
            <w:vMerge/>
          </w:tcPr>
          <w:p w:rsidR="00887521" w:rsidRPr="00CE0000" w:rsidRDefault="00887521" w:rsidP="00CE0000">
            <w:pPr>
              <w:pStyle w:val="Table"/>
            </w:pPr>
          </w:p>
        </w:tc>
      </w:tr>
      <w:tr w:rsidR="00887521" w:rsidRPr="00CE0000">
        <w:trPr>
          <w:trHeight w:val="322"/>
        </w:trPr>
        <w:tc>
          <w:tcPr>
            <w:tcW w:w="606" w:type="dxa"/>
            <w:vMerge/>
            <w:vAlign w:val="center"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2742" w:type="dxa"/>
            <w:vMerge/>
            <w:vAlign w:val="center"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1306" w:type="dxa"/>
            <w:vMerge/>
            <w:vAlign w:val="center"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1686" w:type="dxa"/>
            <w:vMerge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1620" w:type="dxa"/>
            <w:vMerge/>
          </w:tcPr>
          <w:p w:rsidR="00887521" w:rsidRPr="00CE0000" w:rsidRDefault="00887521" w:rsidP="00CE0000">
            <w:pPr>
              <w:pStyle w:val="Table"/>
            </w:pPr>
          </w:p>
        </w:tc>
        <w:tc>
          <w:tcPr>
            <w:tcW w:w="2365" w:type="dxa"/>
            <w:vMerge/>
          </w:tcPr>
          <w:p w:rsidR="00887521" w:rsidRPr="00CE0000" w:rsidRDefault="00887521" w:rsidP="00CE0000">
            <w:pPr>
              <w:pStyle w:val="Table"/>
            </w:pPr>
          </w:p>
        </w:tc>
      </w:tr>
      <w:tr w:rsidR="00887521" w:rsidRPr="00CE0000">
        <w:trPr>
          <w:trHeight w:val="381"/>
        </w:trPr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1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2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3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4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>5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10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1.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Мониторинг потребности в педагогических кадрах в районной системе образования 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Управление образования, МБОУ ДПО «ИМЦ»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>Ежегодно, 1 раз в квартал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Обновление банка данных вакансий в образовательных учреждениях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2.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Создание базы данных о педагогических (руководящих) работниках района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УО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В течение периода 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Наличие банка необходимых данных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3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Организация мониторинга повышения квалификации педагогических работников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МБОУ ДПО «ИМЦ», образовательные учреждения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>Ежегодно 2 раза в год (сентябрь, май)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Разработка плана- графика прохождения педагогическими работниками курсов повышения квалификации в КРИПКиПРО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4.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Организация центров стажировок на базе общеобразовательных учреждений района для обучения молодых педагогов в первый год их работы и программно -</w:t>
            </w:r>
            <w:r>
              <w:t xml:space="preserve"> </w:t>
            </w:r>
            <w:r w:rsidRPr="00CE0000">
              <w:t>методического их обеспечения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МБОУ ДПО «ИМЦ», образовательные учреждения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>Ежегодно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Разработка плана графика ОУ для стажировок молодых специалистов. Закрепление наставничества методистов, специалистов МБОУ ДПО «ИМЦ», проведение стажировок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5.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Организация совещаний и семинаров педагогических работников по обмену опытом 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МБОУ ДПО «ИМЦ»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>Ежегодно, 1 раз в квартал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Проведение семинаров, совещаний. 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6.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Организация мониторинга обучения кадрового резерва руководителей образовательных учреждений района и педагогических работников, имеющих высшее, но не педагогическое образования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Управление образования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Ежегодно (май) 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Формирование списков руководителей и педагогических работников для прохождения обучения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7.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Организация работы по ориентации учащихся на педагогические профессии.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>Организация работы по целевому набору в вузы педагогического профиля (по согласованию)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УО, МБОУ ДПО «ИМЦ»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Без финансирования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Ежегодно 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Привлечение выпускников к обучению</w:t>
            </w:r>
            <w:r>
              <w:t xml:space="preserve"> </w:t>
            </w:r>
            <w:r w:rsidRPr="00CE0000">
              <w:t>педагогическим профессиям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8.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Единовременные выплаты молодым специалистам, поступившим на работу в муниципальные образовательные учреждения Крапивинского муниципального района</w:t>
            </w:r>
          </w:p>
          <w:p w:rsidR="00887521" w:rsidRPr="00CE0000" w:rsidRDefault="00887521" w:rsidP="00CE0000">
            <w:pPr>
              <w:pStyle w:val="Table"/>
            </w:pP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УО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>За счет средств, выделяемых на реализацию муниципальной программы «Адресная поддержка молодых специалистов, талантливых педагогов и одарённых детей Крапивинского муниципального района» на 2014–2016 годы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>Ежегодно (октябрь)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Поддержка молодых специалистов </w:t>
            </w:r>
          </w:p>
        </w:tc>
      </w:tr>
      <w:tr w:rsidR="00887521" w:rsidRPr="00CE0000">
        <w:tc>
          <w:tcPr>
            <w:tcW w:w="606" w:type="dxa"/>
          </w:tcPr>
          <w:p w:rsidR="00887521" w:rsidRPr="00CE0000" w:rsidRDefault="00887521" w:rsidP="00CE0000">
            <w:pPr>
              <w:pStyle w:val="Table"/>
            </w:pPr>
            <w:r w:rsidRPr="00CE0000">
              <w:t>9.</w:t>
            </w:r>
          </w:p>
        </w:tc>
        <w:tc>
          <w:tcPr>
            <w:tcW w:w="2742" w:type="dxa"/>
          </w:tcPr>
          <w:p w:rsidR="00887521" w:rsidRPr="00CE0000" w:rsidRDefault="00887521" w:rsidP="00CE0000">
            <w:pPr>
              <w:pStyle w:val="Table"/>
            </w:pPr>
            <w:r w:rsidRPr="00CE0000">
              <w:t>Организация и проведение конкурсов:</w:t>
            </w:r>
          </w:p>
          <w:p w:rsidR="00887521" w:rsidRPr="00CE0000" w:rsidRDefault="00887521" w:rsidP="00CE0000">
            <w:pPr>
              <w:pStyle w:val="Table"/>
            </w:pPr>
            <w:r w:rsidRPr="00CE0000">
              <w:t xml:space="preserve">«Учитель года», «Воспитатель года», «Самый классный классный», «Молодой специалист года», конкурсы педагогического мастерства на грант главы. Поощрение педагогов, подготовивших призеров олимпиад областного уровня, победителей конкурса </w:t>
            </w:r>
          </w:p>
        </w:tc>
        <w:tc>
          <w:tcPr>
            <w:tcW w:w="1306" w:type="dxa"/>
          </w:tcPr>
          <w:p w:rsidR="00887521" w:rsidRPr="00CE0000" w:rsidRDefault="00887521" w:rsidP="00CE0000">
            <w:pPr>
              <w:pStyle w:val="Table"/>
            </w:pPr>
            <w:r w:rsidRPr="00CE0000">
              <w:t>МБОУ ДПО «ИМЦ»</w:t>
            </w:r>
          </w:p>
        </w:tc>
        <w:tc>
          <w:tcPr>
            <w:tcW w:w="1686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За счет средств, выделяемых на реализацию муниципальной программы «Адресная поддержка молодых специалистов, талантливых педагогов и одарённых детей Крапивинского муниципального района» на 2014–2016 годы </w:t>
            </w:r>
          </w:p>
        </w:tc>
        <w:tc>
          <w:tcPr>
            <w:tcW w:w="1620" w:type="dxa"/>
          </w:tcPr>
          <w:p w:rsidR="00887521" w:rsidRPr="00CE0000" w:rsidRDefault="00887521" w:rsidP="00CE0000">
            <w:pPr>
              <w:pStyle w:val="Table"/>
            </w:pPr>
            <w:r w:rsidRPr="00CE0000">
              <w:t xml:space="preserve">Ежегодно </w:t>
            </w:r>
          </w:p>
        </w:tc>
        <w:tc>
          <w:tcPr>
            <w:tcW w:w="2365" w:type="dxa"/>
          </w:tcPr>
          <w:p w:rsidR="00887521" w:rsidRPr="00CE0000" w:rsidRDefault="00887521" w:rsidP="00CE0000">
            <w:pPr>
              <w:pStyle w:val="Table"/>
            </w:pPr>
            <w:r w:rsidRPr="00CE0000">
              <w:t>Выявление и поддержка талантливых педагогов, молодых специалистов</w:t>
            </w:r>
          </w:p>
        </w:tc>
      </w:tr>
    </w:tbl>
    <w:p w:rsidR="00887521" w:rsidRPr="00CE0000" w:rsidRDefault="00887521" w:rsidP="00CE0000"/>
    <w:sectPr w:rsidR="00887521" w:rsidRPr="00CE0000" w:rsidSect="00CE0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21" w:rsidRDefault="00887521">
      <w:r>
        <w:separator/>
      </w:r>
    </w:p>
  </w:endnote>
  <w:endnote w:type="continuationSeparator" w:id="0">
    <w:p w:rsidR="00887521" w:rsidRDefault="0088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21" w:rsidRDefault="00887521">
      <w:r>
        <w:separator/>
      </w:r>
    </w:p>
  </w:footnote>
  <w:footnote w:type="continuationSeparator" w:id="0">
    <w:p w:rsidR="00887521" w:rsidRDefault="00887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8402B4"/>
    <w:lvl w:ilvl="0">
      <w:numFmt w:val="bullet"/>
      <w:lvlText w:val="*"/>
      <w:lvlJc w:val="left"/>
    </w:lvl>
  </w:abstractNum>
  <w:abstractNum w:abstractNumId="1">
    <w:nsid w:val="037B2A85"/>
    <w:multiLevelType w:val="hybridMultilevel"/>
    <w:tmpl w:val="F85C97E6"/>
    <w:lvl w:ilvl="0" w:tplc="F97CA94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4F6A47"/>
    <w:multiLevelType w:val="hybridMultilevel"/>
    <w:tmpl w:val="E780DFB8"/>
    <w:lvl w:ilvl="0" w:tplc="CAD4CE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5945DF"/>
    <w:multiLevelType w:val="hybridMultilevel"/>
    <w:tmpl w:val="94ECC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3E55D4D"/>
    <w:multiLevelType w:val="hybridMultilevel"/>
    <w:tmpl w:val="5194F002"/>
    <w:lvl w:ilvl="0" w:tplc="04190001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6C666DC"/>
    <w:multiLevelType w:val="hybridMultilevel"/>
    <w:tmpl w:val="954035CE"/>
    <w:lvl w:ilvl="0" w:tplc="BFDAAEA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E8677D"/>
    <w:multiLevelType w:val="hybridMultilevel"/>
    <w:tmpl w:val="60E25342"/>
    <w:lvl w:ilvl="0" w:tplc="04190001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1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1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7">
    <w:nsid w:val="18757B94"/>
    <w:multiLevelType w:val="hybridMultilevel"/>
    <w:tmpl w:val="5A083886"/>
    <w:lvl w:ilvl="0" w:tplc="8DC89646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8">
    <w:nsid w:val="1B107212"/>
    <w:multiLevelType w:val="hybridMultilevel"/>
    <w:tmpl w:val="C2F82212"/>
    <w:lvl w:ilvl="0" w:tplc="04190001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2E3BDF"/>
    <w:multiLevelType w:val="hybridMultilevel"/>
    <w:tmpl w:val="3D4CF1AA"/>
    <w:lvl w:ilvl="0" w:tplc="CAD4CE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8C7243B"/>
    <w:multiLevelType w:val="hybridMultilevel"/>
    <w:tmpl w:val="3350F3F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A4B95"/>
    <w:multiLevelType w:val="hybridMultilevel"/>
    <w:tmpl w:val="9B52411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760ED2"/>
    <w:multiLevelType w:val="hybridMultilevel"/>
    <w:tmpl w:val="A3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366ABD"/>
    <w:multiLevelType w:val="hybridMultilevel"/>
    <w:tmpl w:val="1F848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BE4536"/>
    <w:multiLevelType w:val="hybridMultilevel"/>
    <w:tmpl w:val="E90862AC"/>
    <w:lvl w:ilvl="0" w:tplc="041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abstractNum w:abstractNumId="15">
    <w:nsid w:val="34805199"/>
    <w:multiLevelType w:val="hybridMultilevel"/>
    <w:tmpl w:val="4536BD0C"/>
    <w:lvl w:ilvl="0" w:tplc="CAD4CEE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970FC2"/>
    <w:multiLevelType w:val="hybridMultilevel"/>
    <w:tmpl w:val="8C04ED26"/>
    <w:lvl w:ilvl="0" w:tplc="CAD4CE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17">
    <w:nsid w:val="3F7A7333"/>
    <w:multiLevelType w:val="hybridMultilevel"/>
    <w:tmpl w:val="7C72B47E"/>
    <w:lvl w:ilvl="0" w:tplc="CAD4C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2C07EE8"/>
    <w:multiLevelType w:val="hybridMultilevel"/>
    <w:tmpl w:val="B784E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41A4ED0"/>
    <w:multiLevelType w:val="hybridMultilevel"/>
    <w:tmpl w:val="AD46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A76DF9"/>
    <w:multiLevelType w:val="hybridMultilevel"/>
    <w:tmpl w:val="E85EEEC4"/>
    <w:lvl w:ilvl="0" w:tplc="04190001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FD24D04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11C82"/>
    <w:multiLevelType w:val="multilevel"/>
    <w:tmpl w:val="9D2A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55CB1652"/>
    <w:multiLevelType w:val="hybridMultilevel"/>
    <w:tmpl w:val="F202F3F2"/>
    <w:lvl w:ilvl="0" w:tplc="499C4C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EF26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1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50E2A8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B9CC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0697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B38265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35EA7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CA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C613F21"/>
    <w:multiLevelType w:val="hybridMultilevel"/>
    <w:tmpl w:val="D7160464"/>
    <w:lvl w:ilvl="0" w:tplc="04190001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90003">
      <w:start w:val="1"/>
      <w:numFmt w:val="lowerLetter"/>
      <w:lvlText w:val="%2."/>
      <w:lvlJc w:val="left"/>
      <w:pPr>
        <w:ind w:left="1800" w:hanging="360"/>
      </w:pPr>
    </w:lvl>
    <w:lvl w:ilvl="2" w:tplc="04190005">
      <w:start w:val="1"/>
      <w:numFmt w:val="lowerRoman"/>
      <w:lvlText w:val="%3."/>
      <w:lvlJc w:val="right"/>
      <w:pPr>
        <w:ind w:left="2520" w:hanging="180"/>
      </w:pPr>
    </w:lvl>
    <w:lvl w:ilvl="3" w:tplc="04190001">
      <w:start w:val="1"/>
      <w:numFmt w:val="decimal"/>
      <w:lvlText w:val="%4."/>
      <w:lvlJc w:val="left"/>
      <w:pPr>
        <w:ind w:left="3240" w:hanging="360"/>
      </w:pPr>
    </w:lvl>
    <w:lvl w:ilvl="4" w:tplc="04190003">
      <w:start w:val="1"/>
      <w:numFmt w:val="lowerLetter"/>
      <w:lvlText w:val="%5."/>
      <w:lvlJc w:val="left"/>
      <w:pPr>
        <w:ind w:left="3960" w:hanging="360"/>
      </w:pPr>
    </w:lvl>
    <w:lvl w:ilvl="5" w:tplc="04190005">
      <w:start w:val="1"/>
      <w:numFmt w:val="lowerRoman"/>
      <w:lvlText w:val="%6."/>
      <w:lvlJc w:val="right"/>
      <w:pPr>
        <w:ind w:left="4680" w:hanging="180"/>
      </w:pPr>
    </w:lvl>
    <w:lvl w:ilvl="6" w:tplc="04190001">
      <w:start w:val="1"/>
      <w:numFmt w:val="decimal"/>
      <w:lvlText w:val="%7."/>
      <w:lvlJc w:val="left"/>
      <w:pPr>
        <w:ind w:left="5400" w:hanging="360"/>
      </w:pPr>
    </w:lvl>
    <w:lvl w:ilvl="7" w:tplc="04190003">
      <w:start w:val="1"/>
      <w:numFmt w:val="lowerLetter"/>
      <w:lvlText w:val="%8."/>
      <w:lvlJc w:val="left"/>
      <w:pPr>
        <w:ind w:left="6120" w:hanging="360"/>
      </w:pPr>
    </w:lvl>
    <w:lvl w:ilvl="8" w:tplc="04190005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6C236B"/>
    <w:multiLevelType w:val="hybridMultilevel"/>
    <w:tmpl w:val="EC96D45C"/>
    <w:lvl w:ilvl="0" w:tplc="52063EE8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ED1446C"/>
    <w:multiLevelType w:val="hybridMultilevel"/>
    <w:tmpl w:val="B57833BA"/>
    <w:lvl w:ilvl="0" w:tplc="CAD4CEE4">
      <w:start w:val="1"/>
      <w:numFmt w:val="bullet"/>
      <w:pStyle w:val="a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cs="Wingdings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F627B8"/>
    <w:multiLevelType w:val="hybridMultilevel"/>
    <w:tmpl w:val="C99CF6FC"/>
    <w:lvl w:ilvl="0" w:tplc="6BD8CB36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0F97F99"/>
    <w:multiLevelType w:val="hybridMultilevel"/>
    <w:tmpl w:val="D9CC1280"/>
    <w:lvl w:ilvl="0" w:tplc="04190001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E41457"/>
    <w:multiLevelType w:val="hybridMultilevel"/>
    <w:tmpl w:val="29A85BF4"/>
    <w:lvl w:ilvl="0" w:tplc="CAD4C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66160E"/>
    <w:multiLevelType w:val="multilevel"/>
    <w:tmpl w:val="7D64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68833BC5"/>
    <w:multiLevelType w:val="hybridMultilevel"/>
    <w:tmpl w:val="6728E484"/>
    <w:lvl w:ilvl="0" w:tplc="7D7C9DE6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cs="Symbol" w:hint="default"/>
      </w:rPr>
    </w:lvl>
    <w:lvl w:ilvl="1" w:tplc="15E0AD62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8C2C2A0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16787792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91E0CC7A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780A85C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5666036E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CD24E56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AAF29C56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31">
    <w:nsid w:val="6B586763"/>
    <w:multiLevelType w:val="hybridMultilevel"/>
    <w:tmpl w:val="000E575C"/>
    <w:lvl w:ilvl="0" w:tplc="CAD4CEE4">
      <w:start w:val="1"/>
      <w:numFmt w:val="bullet"/>
      <w:lvlText w:val=""/>
      <w:lvlJc w:val="left"/>
      <w:pPr>
        <w:tabs>
          <w:tab w:val="num" w:pos="1138"/>
        </w:tabs>
        <w:ind w:left="1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cs="Wingdings" w:hint="default"/>
      </w:rPr>
    </w:lvl>
  </w:abstractNum>
  <w:abstractNum w:abstractNumId="32">
    <w:nsid w:val="6B626128"/>
    <w:multiLevelType w:val="hybridMultilevel"/>
    <w:tmpl w:val="02A4989C"/>
    <w:lvl w:ilvl="0" w:tplc="0419000D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cs="Wingdings" w:hint="default"/>
      </w:rPr>
    </w:lvl>
  </w:abstractNum>
  <w:abstractNum w:abstractNumId="33">
    <w:nsid w:val="6C5F481B"/>
    <w:multiLevelType w:val="hybridMultilevel"/>
    <w:tmpl w:val="D25C91AE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E6020A0"/>
    <w:multiLevelType w:val="hybridMultilevel"/>
    <w:tmpl w:val="B192DCB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35">
    <w:nsid w:val="6F5023A8"/>
    <w:multiLevelType w:val="hybridMultilevel"/>
    <w:tmpl w:val="8B7A280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157D3"/>
    <w:multiLevelType w:val="hybridMultilevel"/>
    <w:tmpl w:val="2582353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2921407"/>
    <w:multiLevelType w:val="multilevel"/>
    <w:tmpl w:val="EBD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8">
    <w:nsid w:val="75D77881"/>
    <w:multiLevelType w:val="hybridMultilevel"/>
    <w:tmpl w:val="7B500D08"/>
    <w:lvl w:ilvl="0" w:tplc="B59000E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EDA6C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302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42A18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A94F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86F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092E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5C2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B42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BBD4C4B"/>
    <w:multiLevelType w:val="hybridMultilevel"/>
    <w:tmpl w:val="17FEC950"/>
    <w:lvl w:ilvl="0" w:tplc="CAD4CEE4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40">
    <w:nsid w:val="7CA81DE5"/>
    <w:multiLevelType w:val="multilevel"/>
    <w:tmpl w:val="129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1">
    <w:nsid w:val="7D4938F7"/>
    <w:multiLevelType w:val="hybridMultilevel"/>
    <w:tmpl w:val="42D2C76E"/>
    <w:lvl w:ilvl="0" w:tplc="403A7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780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D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CA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4B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E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06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A5C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E3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26"/>
  </w:num>
  <w:num w:numId="5">
    <w:abstractNumId w:val="5"/>
  </w:num>
  <w:num w:numId="6">
    <w:abstractNumId w:val="2"/>
  </w:num>
  <w:num w:numId="7">
    <w:abstractNumId w:val="19"/>
  </w:num>
  <w:num w:numId="8">
    <w:abstractNumId w:val="33"/>
  </w:num>
  <w:num w:numId="9">
    <w:abstractNumId w:val="36"/>
  </w:num>
  <w:num w:numId="10">
    <w:abstractNumId w:val="12"/>
  </w:num>
  <w:num w:numId="11">
    <w:abstractNumId w:val="34"/>
  </w:num>
  <w:num w:numId="12">
    <w:abstractNumId w:val="7"/>
  </w:num>
  <w:num w:numId="13">
    <w:abstractNumId w:val="28"/>
  </w:num>
  <w:num w:numId="14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2"/>
  </w:num>
  <w:num w:numId="16">
    <w:abstractNumId w:val="31"/>
  </w:num>
  <w:num w:numId="17">
    <w:abstractNumId w:val="13"/>
  </w:num>
  <w:num w:numId="18">
    <w:abstractNumId w:val="25"/>
  </w:num>
  <w:num w:numId="19">
    <w:abstractNumId w:val="22"/>
  </w:num>
  <w:num w:numId="20">
    <w:abstractNumId w:val="9"/>
  </w:num>
  <w:num w:numId="21">
    <w:abstractNumId w:val="18"/>
  </w:num>
  <w:num w:numId="22">
    <w:abstractNumId w:val="11"/>
  </w:num>
  <w:num w:numId="23">
    <w:abstractNumId w:val="20"/>
  </w:num>
  <w:num w:numId="24">
    <w:abstractNumId w:val="3"/>
  </w:num>
  <w:num w:numId="25">
    <w:abstractNumId w:val="35"/>
  </w:num>
  <w:num w:numId="26">
    <w:abstractNumId w:val="23"/>
  </w:num>
  <w:num w:numId="27">
    <w:abstractNumId w:val="16"/>
  </w:num>
  <w:num w:numId="28">
    <w:abstractNumId w:val="37"/>
  </w:num>
  <w:num w:numId="29">
    <w:abstractNumId w:val="14"/>
  </w:num>
  <w:num w:numId="30">
    <w:abstractNumId w:val="21"/>
  </w:num>
  <w:num w:numId="31">
    <w:abstractNumId w:val="29"/>
  </w:num>
  <w:num w:numId="32">
    <w:abstractNumId w:val="40"/>
  </w:num>
  <w:num w:numId="33">
    <w:abstractNumId w:val="39"/>
  </w:num>
  <w:num w:numId="34">
    <w:abstractNumId w:val="6"/>
  </w:num>
  <w:num w:numId="35">
    <w:abstractNumId w:val="4"/>
  </w:num>
  <w:num w:numId="36">
    <w:abstractNumId w:val="1"/>
  </w:num>
  <w:num w:numId="37">
    <w:abstractNumId w:val="15"/>
  </w:num>
  <w:num w:numId="38">
    <w:abstractNumId w:val="8"/>
  </w:num>
  <w:num w:numId="39">
    <w:abstractNumId w:val="27"/>
  </w:num>
  <w:num w:numId="40">
    <w:abstractNumId w:val="38"/>
  </w:num>
  <w:num w:numId="41">
    <w:abstractNumId w:val="41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5DA"/>
    <w:rsid w:val="000378CD"/>
    <w:rsid w:val="000522E0"/>
    <w:rsid w:val="000563FF"/>
    <w:rsid w:val="000712C3"/>
    <w:rsid w:val="000A003B"/>
    <w:rsid w:val="000D6FE2"/>
    <w:rsid w:val="000E27EF"/>
    <w:rsid w:val="00112047"/>
    <w:rsid w:val="00125D1E"/>
    <w:rsid w:val="00191B05"/>
    <w:rsid w:val="001A044B"/>
    <w:rsid w:val="001A3EF7"/>
    <w:rsid w:val="001B5677"/>
    <w:rsid w:val="001E3F94"/>
    <w:rsid w:val="001F2E4B"/>
    <w:rsid w:val="001F5A3E"/>
    <w:rsid w:val="00225C5C"/>
    <w:rsid w:val="0027571D"/>
    <w:rsid w:val="0032767C"/>
    <w:rsid w:val="00357CAE"/>
    <w:rsid w:val="00367717"/>
    <w:rsid w:val="0038518C"/>
    <w:rsid w:val="003A33C3"/>
    <w:rsid w:val="003A5F1B"/>
    <w:rsid w:val="003B11B3"/>
    <w:rsid w:val="003B67FE"/>
    <w:rsid w:val="003C089C"/>
    <w:rsid w:val="0043622D"/>
    <w:rsid w:val="00436DB3"/>
    <w:rsid w:val="0045119B"/>
    <w:rsid w:val="004952FC"/>
    <w:rsid w:val="004C4A1B"/>
    <w:rsid w:val="005139BA"/>
    <w:rsid w:val="005B366B"/>
    <w:rsid w:val="005C6439"/>
    <w:rsid w:val="0062765E"/>
    <w:rsid w:val="00630AAE"/>
    <w:rsid w:val="006314FA"/>
    <w:rsid w:val="006376C3"/>
    <w:rsid w:val="00650402"/>
    <w:rsid w:val="006719AA"/>
    <w:rsid w:val="006A6E45"/>
    <w:rsid w:val="006B6620"/>
    <w:rsid w:val="006C55FE"/>
    <w:rsid w:val="006D50F7"/>
    <w:rsid w:val="006D690A"/>
    <w:rsid w:val="00742FE9"/>
    <w:rsid w:val="007900C5"/>
    <w:rsid w:val="0080604D"/>
    <w:rsid w:val="00872C43"/>
    <w:rsid w:val="00887521"/>
    <w:rsid w:val="00893AC7"/>
    <w:rsid w:val="008C4411"/>
    <w:rsid w:val="008D1380"/>
    <w:rsid w:val="008F09F1"/>
    <w:rsid w:val="00947732"/>
    <w:rsid w:val="00983525"/>
    <w:rsid w:val="009B59BE"/>
    <w:rsid w:val="009B5F74"/>
    <w:rsid w:val="009E7A57"/>
    <w:rsid w:val="00A03997"/>
    <w:rsid w:val="00A15042"/>
    <w:rsid w:val="00A23215"/>
    <w:rsid w:val="00A416BB"/>
    <w:rsid w:val="00A675DA"/>
    <w:rsid w:val="00AA2B19"/>
    <w:rsid w:val="00AD07CE"/>
    <w:rsid w:val="00B10696"/>
    <w:rsid w:val="00B1211D"/>
    <w:rsid w:val="00B81DED"/>
    <w:rsid w:val="00B83B53"/>
    <w:rsid w:val="00BD14B1"/>
    <w:rsid w:val="00BE049F"/>
    <w:rsid w:val="00BF5997"/>
    <w:rsid w:val="00C018F8"/>
    <w:rsid w:val="00C1716F"/>
    <w:rsid w:val="00C21AD7"/>
    <w:rsid w:val="00C37B7D"/>
    <w:rsid w:val="00C402FB"/>
    <w:rsid w:val="00C46EC2"/>
    <w:rsid w:val="00C518D3"/>
    <w:rsid w:val="00C75DCE"/>
    <w:rsid w:val="00C81547"/>
    <w:rsid w:val="00C8765D"/>
    <w:rsid w:val="00CD643C"/>
    <w:rsid w:val="00CE0000"/>
    <w:rsid w:val="00CE23AB"/>
    <w:rsid w:val="00D033AB"/>
    <w:rsid w:val="00D61D65"/>
    <w:rsid w:val="00D827E4"/>
    <w:rsid w:val="00E527C5"/>
    <w:rsid w:val="00E64D0D"/>
    <w:rsid w:val="00E81118"/>
    <w:rsid w:val="00EB7D4B"/>
    <w:rsid w:val="00EC03D3"/>
    <w:rsid w:val="00EF51D2"/>
    <w:rsid w:val="00EF76F7"/>
    <w:rsid w:val="00F125E3"/>
    <w:rsid w:val="00F47BB6"/>
    <w:rsid w:val="00F743B2"/>
    <w:rsid w:val="00F93013"/>
    <w:rsid w:val="00FE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E000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E000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E000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E000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E000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8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C1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FC13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FC13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FC13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3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0">
    <w:name w:val="Знак"/>
    <w:basedOn w:val="Normal"/>
    <w:uiPriority w:val="99"/>
    <w:rsid w:val="003C08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675DA"/>
    <w:pPr>
      <w:ind w:firstLine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29"/>
    <w:rPr>
      <w:rFonts w:ascii="Arial" w:hAnsi="Arial" w:cs="Arial"/>
      <w:sz w:val="24"/>
      <w:szCs w:val="24"/>
    </w:rPr>
  </w:style>
  <w:style w:type="paragraph" w:customStyle="1" w:styleId="2">
    <w:name w:val="Знак2"/>
    <w:basedOn w:val="Normal"/>
    <w:uiPriority w:val="99"/>
    <w:rsid w:val="00A675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C089C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89C"/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3C089C"/>
    <w:pPr>
      <w:ind w:left="720"/>
    </w:pPr>
  </w:style>
  <w:style w:type="paragraph" w:customStyle="1" w:styleId="ConsPlusCell">
    <w:name w:val="ConsPlusCell"/>
    <w:uiPriority w:val="99"/>
    <w:rsid w:val="003C089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C089C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3C089C"/>
    <w:rPr>
      <w:rFonts w:ascii="Arial" w:hAnsi="Arial"/>
      <w:sz w:val="20"/>
      <w:szCs w:val="20"/>
    </w:rPr>
  </w:style>
  <w:style w:type="paragraph" w:customStyle="1" w:styleId="a">
    <w:name w:val="маркер"/>
    <w:basedOn w:val="Normal"/>
    <w:next w:val="Heading5"/>
    <w:uiPriority w:val="99"/>
    <w:rsid w:val="003C089C"/>
    <w:pPr>
      <w:numPr>
        <w:numId w:val="18"/>
      </w:numPr>
    </w:pPr>
  </w:style>
  <w:style w:type="paragraph" w:styleId="Footer">
    <w:name w:val="footer"/>
    <w:basedOn w:val="Normal"/>
    <w:link w:val="FooterChar"/>
    <w:uiPriority w:val="99"/>
    <w:rsid w:val="003C08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32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C089C"/>
  </w:style>
  <w:style w:type="character" w:styleId="Hyperlink">
    <w:name w:val="Hyperlink"/>
    <w:basedOn w:val="DefaultParagraphFont"/>
    <w:uiPriority w:val="99"/>
    <w:rsid w:val="00CE0000"/>
    <w:rPr>
      <w:color w:val="0000FF"/>
      <w:u w:val="none"/>
    </w:rPr>
  </w:style>
  <w:style w:type="paragraph" w:customStyle="1" w:styleId="cb">
    <w:name w:val="cb"/>
    <w:basedOn w:val="Normal"/>
    <w:uiPriority w:val="99"/>
    <w:rsid w:val="003C089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C08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329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E000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E000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FC1329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CE000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E00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E000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E0000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ConsPlusNonformat">
    <w:name w:val="ConsPlusNonformat"/>
    <w:uiPriority w:val="99"/>
    <w:rsid w:val="009E7A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C21AD7"/>
    <w:rPr>
      <w:rFonts w:cs="Times New Roman"/>
      <w:b/>
      <w:bCs/>
    </w:rPr>
  </w:style>
  <w:style w:type="character" w:customStyle="1" w:styleId="NoSpacingChar">
    <w:name w:val="No Spacing Char"/>
    <w:link w:val="NoSpacing"/>
    <w:uiPriority w:val="99"/>
    <w:rsid w:val="003A5F1B"/>
    <w:rPr>
      <w:rFonts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5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2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8</Pages>
  <Words>2216</Words>
  <Characters>12636</Characters>
  <Application>Microsoft Office Outlook</Application>
  <DocSecurity>0</DocSecurity>
  <Lines>0</Lines>
  <Paragraphs>0</Paragraphs>
  <ScaleCrop>false</ScaleCrop>
  <Company>МУО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2013-10-08T09:42:00Z</cp:lastPrinted>
  <dcterms:created xsi:type="dcterms:W3CDTF">2013-10-22T05:14:00Z</dcterms:created>
  <dcterms:modified xsi:type="dcterms:W3CDTF">2013-10-23T01:15:00Z</dcterms:modified>
</cp:coreProperties>
</file>