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B3" w:rsidRPr="00EC041C" w:rsidRDefault="00EF29B3" w:rsidP="00EC041C">
      <w:pPr>
        <w:jc w:val="right"/>
        <w:rPr>
          <w:b/>
          <w:bCs/>
          <w:kern w:val="28"/>
          <w:sz w:val="32"/>
          <w:szCs w:val="32"/>
        </w:rPr>
      </w:pPr>
      <w:r w:rsidRPr="00EC041C">
        <w:rPr>
          <w:b/>
          <w:bCs/>
          <w:kern w:val="28"/>
          <w:sz w:val="32"/>
          <w:szCs w:val="32"/>
        </w:rPr>
        <w:t>Приложение</w:t>
      </w:r>
    </w:p>
    <w:p w:rsidR="00EF29B3" w:rsidRPr="00EC041C" w:rsidRDefault="00EF29B3" w:rsidP="00EC041C">
      <w:pPr>
        <w:jc w:val="right"/>
        <w:rPr>
          <w:b/>
          <w:bCs/>
          <w:kern w:val="28"/>
          <w:sz w:val="32"/>
          <w:szCs w:val="32"/>
        </w:rPr>
      </w:pPr>
      <w:r w:rsidRPr="00EC041C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F29B3" w:rsidRPr="00EC041C" w:rsidRDefault="00EF29B3" w:rsidP="00EC041C">
      <w:pPr>
        <w:jc w:val="right"/>
        <w:rPr>
          <w:b/>
          <w:bCs/>
          <w:kern w:val="28"/>
          <w:sz w:val="32"/>
          <w:szCs w:val="32"/>
        </w:rPr>
      </w:pPr>
      <w:r w:rsidRPr="00EC041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F29B3" w:rsidRPr="00EC041C" w:rsidRDefault="00EF29B3" w:rsidP="00EC041C">
      <w:pPr>
        <w:jc w:val="right"/>
        <w:rPr>
          <w:b/>
          <w:bCs/>
          <w:kern w:val="28"/>
          <w:sz w:val="32"/>
          <w:szCs w:val="32"/>
        </w:rPr>
      </w:pPr>
      <w:r w:rsidRPr="00EC041C">
        <w:rPr>
          <w:b/>
          <w:bCs/>
          <w:kern w:val="28"/>
          <w:sz w:val="32"/>
          <w:szCs w:val="32"/>
        </w:rPr>
        <w:t>от 24.12.2013 г. №1890</w:t>
      </w:r>
    </w:p>
    <w:p w:rsidR="00EF29B3" w:rsidRPr="00EC041C" w:rsidRDefault="00EF29B3" w:rsidP="00EC041C"/>
    <w:p w:rsidR="00EF29B3" w:rsidRPr="00EC041C" w:rsidRDefault="00EF29B3" w:rsidP="00EC041C">
      <w:pPr>
        <w:jc w:val="center"/>
        <w:rPr>
          <w:b/>
          <w:bCs/>
          <w:sz w:val="30"/>
          <w:szCs w:val="30"/>
        </w:rPr>
      </w:pPr>
      <w:r w:rsidRPr="00EC041C">
        <w:rPr>
          <w:b/>
          <w:bCs/>
          <w:sz w:val="30"/>
          <w:szCs w:val="30"/>
        </w:rPr>
        <w:t>7. СИСТЕМА ПРОГРАММНЫХ МЕРОПРИЯТИЙ</w:t>
      </w:r>
    </w:p>
    <w:p w:rsidR="00EF29B3" w:rsidRPr="00EC041C" w:rsidRDefault="00EF29B3" w:rsidP="00EC041C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"/>
        <w:gridCol w:w="19"/>
        <w:gridCol w:w="1855"/>
        <w:gridCol w:w="18"/>
        <w:gridCol w:w="1054"/>
        <w:gridCol w:w="24"/>
        <w:gridCol w:w="965"/>
        <w:gridCol w:w="23"/>
        <w:gridCol w:w="1004"/>
        <w:gridCol w:w="6"/>
        <w:gridCol w:w="947"/>
        <w:gridCol w:w="643"/>
        <w:gridCol w:w="566"/>
        <w:gridCol w:w="6"/>
        <w:gridCol w:w="565"/>
        <w:gridCol w:w="6"/>
        <w:gridCol w:w="1405"/>
      </w:tblGrid>
      <w:tr w:rsidR="00EF29B3" w:rsidRPr="00EC041C">
        <w:tc>
          <w:tcPr>
            <w:tcW w:w="661" w:type="dxa"/>
            <w:vMerge w:val="restart"/>
            <w:vAlign w:val="center"/>
          </w:tcPr>
          <w:p w:rsidR="00EF29B3" w:rsidRPr="00EC041C" w:rsidRDefault="00EF29B3" w:rsidP="00EC041C">
            <w:pPr>
              <w:pStyle w:val="Table0"/>
            </w:pPr>
            <w:r w:rsidRPr="00EC041C">
              <w:t>№п/п</w:t>
            </w:r>
          </w:p>
        </w:tc>
        <w:tc>
          <w:tcPr>
            <w:tcW w:w="3309" w:type="dxa"/>
            <w:gridSpan w:val="3"/>
            <w:vMerge w:val="restart"/>
            <w:vAlign w:val="center"/>
          </w:tcPr>
          <w:p w:rsidR="00EF29B3" w:rsidRPr="00EC041C" w:rsidRDefault="00EF29B3" w:rsidP="00EC041C">
            <w:pPr>
              <w:pStyle w:val="Table0"/>
            </w:pPr>
            <w:r w:rsidRPr="00EC041C">
              <w:t>Перечень мероприятий</w:t>
            </w:r>
          </w:p>
        </w:tc>
        <w:tc>
          <w:tcPr>
            <w:tcW w:w="1798" w:type="dxa"/>
            <w:gridSpan w:val="2"/>
            <w:vMerge w:val="restart"/>
            <w:vAlign w:val="center"/>
          </w:tcPr>
          <w:p w:rsidR="00EF29B3" w:rsidRPr="00EC041C" w:rsidRDefault="00EF29B3" w:rsidP="00EC041C">
            <w:pPr>
              <w:pStyle w:val="Table0"/>
            </w:pPr>
            <w:r w:rsidRPr="00EC041C">
              <w:t xml:space="preserve">Исполнители </w:t>
            </w:r>
          </w:p>
        </w:tc>
        <w:tc>
          <w:tcPr>
            <w:tcW w:w="1591" w:type="dxa"/>
            <w:vMerge w:val="restart"/>
          </w:tcPr>
          <w:p w:rsidR="00EF29B3" w:rsidRPr="00EC041C" w:rsidRDefault="00EF29B3" w:rsidP="00EC041C">
            <w:pPr>
              <w:pStyle w:val="Table0"/>
            </w:pPr>
            <w:r w:rsidRPr="00EC041C">
              <w:t>Источники финансирования</w:t>
            </w:r>
          </w:p>
        </w:tc>
        <w:tc>
          <w:tcPr>
            <w:tcW w:w="1702" w:type="dxa"/>
            <w:gridSpan w:val="2"/>
            <w:vMerge w:val="restart"/>
          </w:tcPr>
          <w:p w:rsidR="00EF29B3" w:rsidRPr="00EC041C" w:rsidRDefault="00EF29B3" w:rsidP="00EC041C">
            <w:pPr>
              <w:pStyle w:val="Table0"/>
            </w:pPr>
            <w:r w:rsidRPr="00EC041C">
              <w:t>Сроки выполнения</w:t>
            </w:r>
            <w:r>
              <w:t xml:space="preserve"> </w:t>
            </w:r>
            <w:r w:rsidRPr="00EC041C">
              <w:t>2013-2015</w:t>
            </w:r>
          </w:p>
        </w:tc>
        <w:tc>
          <w:tcPr>
            <w:tcW w:w="4258" w:type="dxa"/>
            <w:gridSpan w:val="6"/>
          </w:tcPr>
          <w:p w:rsidR="00EF29B3" w:rsidRPr="00EC041C" w:rsidRDefault="00EF29B3" w:rsidP="00EC041C">
            <w:pPr>
              <w:pStyle w:val="Table0"/>
            </w:pPr>
            <w:r w:rsidRPr="00EC041C">
              <w:t>Финансовые затраты в тыс. руб.</w:t>
            </w:r>
          </w:p>
        </w:tc>
        <w:tc>
          <w:tcPr>
            <w:tcW w:w="2416" w:type="dxa"/>
            <w:gridSpan w:val="2"/>
            <w:vMerge w:val="restart"/>
          </w:tcPr>
          <w:p w:rsidR="00EF29B3" w:rsidRPr="00EC041C" w:rsidRDefault="00EF29B3" w:rsidP="00EC041C">
            <w:pPr>
              <w:pStyle w:val="Table0"/>
            </w:pPr>
            <w:r w:rsidRPr="00EC041C">
              <w:t>Ожидаемый результат</w:t>
            </w:r>
          </w:p>
        </w:tc>
      </w:tr>
      <w:tr w:rsidR="00EF29B3" w:rsidRPr="00EC041C">
        <w:tc>
          <w:tcPr>
            <w:tcW w:w="661" w:type="dxa"/>
            <w:vMerge/>
            <w:vAlign w:val="center"/>
          </w:tcPr>
          <w:p w:rsidR="00EF29B3" w:rsidRPr="00EC041C" w:rsidRDefault="00EF29B3" w:rsidP="00EC041C">
            <w:pPr>
              <w:pStyle w:val="Table0"/>
            </w:pPr>
          </w:p>
        </w:tc>
        <w:tc>
          <w:tcPr>
            <w:tcW w:w="3309" w:type="dxa"/>
            <w:gridSpan w:val="3"/>
            <w:vMerge/>
            <w:vAlign w:val="center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591" w:type="dxa"/>
            <w:vMerge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  <w:vMerge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563" w:type="dxa"/>
            <w:gridSpan w:val="2"/>
            <w:vMerge w:val="restart"/>
          </w:tcPr>
          <w:p w:rsidR="00EF29B3" w:rsidRPr="00EC041C" w:rsidRDefault="00EF29B3" w:rsidP="00EC041C">
            <w:pPr>
              <w:pStyle w:val="Table"/>
              <w:rPr>
                <w:b/>
                <w:bCs/>
              </w:rPr>
            </w:pPr>
            <w:r w:rsidRPr="00EC041C">
              <w:rPr>
                <w:b/>
                <w:bCs/>
              </w:rPr>
              <w:t>2013-2015</w:t>
            </w:r>
            <w:r>
              <w:rPr>
                <w:b/>
                <w:bCs/>
              </w:rPr>
              <w:t xml:space="preserve"> </w:t>
            </w:r>
            <w:r w:rsidRPr="00EC041C">
              <w:rPr>
                <w:b/>
                <w:bCs/>
              </w:rPr>
              <w:t>тыс. руб.</w:t>
            </w:r>
          </w:p>
        </w:tc>
        <w:tc>
          <w:tcPr>
            <w:tcW w:w="2695" w:type="dxa"/>
            <w:gridSpan w:val="4"/>
          </w:tcPr>
          <w:p w:rsidR="00EF29B3" w:rsidRPr="00EC041C" w:rsidRDefault="00EF29B3" w:rsidP="00EC041C">
            <w:pPr>
              <w:pStyle w:val="Table"/>
              <w:rPr>
                <w:b/>
                <w:bCs/>
              </w:rPr>
            </w:pPr>
            <w:r w:rsidRPr="00EC041C">
              <w:rPr>
                <w:b/>
                <w:bCs/>
              </w:rPr>
              <w:t>В том числе</w:t>
            </w:r>
          </w:p>
        </w:tc>
        <w:tc>
          <w:tcPr>
            <w:tcW w:w="2416" w:type="dxa"/>
            <w:gridSpan w:val="2"/>
            <w:vMerge/>
          </w:tcPr>
          <w:p w:rsidR="00EF29B3" w:rsidRPr="00EC041C" w:rsidRDefault="00EF29B3" w:rsidP="00EC041C">
            <w:pPr>
              <w:pStyle w:val="Table"/>
            </w:pPr>
          </w:p>
        </w:tc>
      </w:tr>
      <w:tr w:rsidR="00EF29B3" w:rsidRPr="00EC041C">
        <w:tc>
          <w:tcPr>
            <w:tcW w:w="661" w:type="dxa"/>
            <w:vMerge/>
            <w:vAlign w:val="center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3309" w:type="dxa"/>
            <w:gridSpan w:val="3"/>
            <w:vMerge/>
            <w:vAlign w:val="center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591" w:type="dxa"/>
            <w:vMerge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  <w:vMerge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563" w:type="dxa"/>
            <w:gridSpan w:val="2"/>
            <w:vMerge/>
          </w:tcPr>
          <w:p w:rsidR="00EF29B3" w:rsidRPr="00EC041C" w:rsidRDefault="00EF29B3" w:rsidP="00EC041C">
            <w:pPr>
              <w:pStyle w:val="Table"/>
              <w:rPr>
                <w:b/>
                <w:bCs/>
              </w:rPr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  <w:rPr>
                <w:b/>
                <w:bCs/>
              </w:rPr>
            </w:pPr>
            <w:r w:rsidRPr="00EC041C">
              <w:rPr>
                <w:b/>
                <w:bCs/>
              </w:rPr>
              <w:t>2013</w:t>
            </w: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  <w:rPr>
                <w:b/>
                <w:bCs/>
              </w:rPr>
            </w:pPr>
            <w:r w:rsidRPr="00EC041C">
              <w:rPr>
                <w:b/>
                <w:bCs/>
              </w:rPr>
              <w:t>2014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  <w:rPr>
                <w:b/>
                <w:bCs/>
              </w:rPr>
            </w:pPr>
            <w:r w:rsidRPr="00EC041C">
              <w:rPr>
                <w:b/>
                <w:bCs/>
              </w:rPr>
              <w:t>2015</w:t>
            </w:r>
          </w:p>
        </w:tc>
        <w:tc>
          <w:tcPr>
            <w:tcW w:w="2416" w:type="dxa"/>
            <w:gridSpan w:val="2"/>
            <w:vMerge/>
          </w:tcPr>
          <w:p w:rsidR="00EF29B3" w:rsidRPr="00EC041C" w:rsidRDefault="00EF29B3" w:rsidP="00EC041C">
            <w:pPr>
              <w:pStyle w:val="Table"/>
            </w:pPr>
          </w:p>
        </w:tc>
      </w:tr>
      <w:tr w:rsidR="00EF29B3" w:rsidRPr="00EC041C">
        <w:trPr>
          <w:trHeight w:val="381"/>
        </w:trPr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2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3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4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5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6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  <w:r w:rsidRPr="00EC041C">
              <w:t>7</w:t>
            </w: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8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9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10</w:t>
            </w:r>
          </w:p>
        </w:tc>
      </w:tr>
      <w:tr w:rsidR="00EF29B3" w:rsidRPr="00EC041C">
        <w:trPr>
          <w:trHeight w:val="381"/>
        </w:trPr>
        <w:tc>
          <w:tcPr>
            <w:tcW w:w="5768" w:type="dxa"/>
            <w:gridSpan w:val="6"/>
          </w:tcPr>
          <w:p w:rsidR="00EF29B3" w:rsidRPr="00EC041C" w:rsidRDefault="00EF29B3" w:rsidP="00EC041C">
            <w:pPr>
              <w:pStyle w:val="Table"/>
            </w:pPr>
            <w:r w:rsidRPr="00EC041C">
              <w:t>ВСЕГО ПО ПРОГРАММЕ: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2647,135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  <w:r w:rsidRPr="00EC041C">
              <w:t>235,135</w:t>
            </w:r>
            <w:r>
              <w:t xml:space="preserve"> </w:t>
            </w: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1213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1199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</w:tr>
      <w:tr w:rsidR="00EF29B3" w:rsidRPr="00EC041C">
        <w:tc>
          <w:tcPr>
            <w:tcW w:w="15735" w:type="dxa"/>
            <w:gridSpan w:val="17"/>
          </w:tcPr>
          <w:p w:rsidR="00EF29B3" w:rsidRPr="00EC041C" w:rsidRDefault="00EF29B3" w:rsidP="00EC041C">
            <w:pPr>
              <w:pStyle w:val="Table"/>
            </w:pPr>
            <w:r w:rsidRPr="00EC041C">
              <w:t>1. Подпрограмма «Одарённые дети Крапивинского муниципального района» на 2013-2015 годы.</w:t>
            </w:r>
          </w:p>
        </w:tc>
      </w:tr>
      <w:tr w:rsidR="00EF29B3" w:rsidRPr="00EC041C">
        <w:tc>
          <w:tcPr>
            <w:tcW w:w="15735" w:type="dxa"/>
            <w:gridSpan w:val="17"/>
          </w:tcPr>
          <w:p w:rsidR="00EF29B3" w:rsidRPr="00EC041C" w:rsidRDefault="00EF29B3" w:rsidP="00EC041C">
            <w:pPr>
              <w:pStyle w:val="Table"/>
            </w:pPr>
            <w:r w:rsidRPr="00EC041C">
              <w:t>1. Организационно-управленческие меры</w:t>
            </w:r>
          </w:p>
        </w:tc>
      </w:tr>
      <w:tr w:rsidR="00EF29B3" w:rsidRPr="00EC041C">
        <w:tc>
          <w:tcPr>
            <w:tcW w:w="5768" w:type="dxa"/>
            <w:gridSpan w:val="6"/>
          </w:tcPr>
          <w:p w:rsidR="00EF29B3" w:rsidRPr="00EC041C" w:rsidRDefault="00EF29B3" w:rsidP="00EC041C">
            <w:pPr>
              <w:pStyle w:val="Table"/>
            </w:pPr>
            <w:r w:rsidRPr="00EC041C">
              <w:t>ВСЕГО ПО ПОДПРОГРАММЕ: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8" w:type="dxa"/>
            <w:gridSpan w:val="3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557" w:type="dxa"/>
          </w:tcPr>
          <w:p w:rsidR="00EF29B3" w:rsidRPr="00EC041C" w:rsidRDefault="00EF29B3" w:rsidP="00EC041C">
            <w:pPr>
              <w:pStyle w:val="Table"/>
            </w:pPr>
            <w:r w:rsidRPr="00EC041C">
              <w:t>1748,99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  <w:r w:rsidRPr="00EC041C">
              <w:t>54,99</w:t>
            </w:r>
          </w:p>
        </w:tc>
        <w:tc>
          <w:tcPr>
            <w:tcW w:w="85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826,0</w:t>
            </w:r>
          </w:p>
        </w:tc>
        <w:tc>
          <w:tcPr>
            <w:tcW w:w="854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868,0</w:t>
            </w:r>
          </w:p>
        </w:tc>
        <w:tc>
          <w:tcPr>
            <w:tcW w:w="2409" w:type="dxa"/>
          </w:tcPr>
          <w:p w:rsidR="00EF29B3" w:rsidRPr="00EC041C" w:rsidRDefault="00EF29B3" w:rsidP="00EC041C">
            <w:pPr>
              <w:pStyle w:val="Table"/>
            </w:pP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1.1.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Деятельность районного межведомственного координационного совета по планированию, организации и реализации программы по выявлению, развитию и поддержке одарённых детей 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Заместитель главы Крапивинского муниципального района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Ежегодно, 1 раз в квартал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Координация мероприятий по выявлению, развитию и поддержке одарённых детей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1.2.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Деятельность центра по выявлению, развитию и поддержке одарённых детей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В течение периода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Координация мероприятий по выявлению, развитию и поддержке одарённых детей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1.4.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Введение ставки «методист по работе с одарёнными детьми»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Администрация Крапивинского муниципального района, 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6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47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Организация деятельности центра по работе с одарёнными детьми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1.4.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Разработка локальных актов по работе с одарёнными детьми района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Формирование нормативно-правовой базы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1.5.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Деятельность экспериментальной площадки по работе с одарёнными детьми в учреждениях дополнительного образования детей</w:t>
            </w:r>
            <w:r>
              <w:t xml:space="preserve"> </w:t>
            </w:r>
            <w:r w:rsidRPr="00EC041C">
              <w:t xml:space="preserve"> 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Учреждения дополнительного образования детей (УДОД)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Обобщение опыта работы с одарёнными детьми в УДОД, разработка индивидуальных программ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1.6.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Семинар для специалистов управления образования, управления культуры</w:t>
            </w:r>
            <w:r>
              <w:t xml:space="preserve"> </w:t>
            </w:r>
            <w:r w:rsidRPr="00EC041C">
              <w:t>«Проблемы и пути решения по работе с одарёнными детьми: выявление, развитие и поддержка одарённых детей в Крапивинском муниципальном районе»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Администрация Крапивинского муниципального района, 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Ежегодно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Выявление проблем и путей их решения по педагогической поддержке одарённых детей на муниципальном уровне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1.7.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Семинар</w:t>
            </w:r>
            <w:r>
              <w:t xml:space="preserve"> </w:t>
            </w:r>
            <w:r w:rsidRPr="00EC041C">
              <w:t>- совещание для педагогов общеобразовательных учреждений (ОУ) и учреждений дополнительного образования детей (УДОД)</w:t>
            </w:r>
            <w:r>
              <w:t xml:space="preserve"> </w:t>
            </w:r>
            <w:r w:rsidRPr="00EC041C">
              <w:t xml:space="preserve"> «Проблемы и пути решения по работе с одарёнными детьми: выявление, развитие и поддержка одарённых детей в Крапивинском муниципальном районе»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Ежегодно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Выявление проблем и путей их решения по педагогической поддержке одарённых детей в ОУ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1.8.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Семинар – практикум для педагогов ОУ и УДОД</w:t>
            </w:r>
            <w:r>
              <w:t xml:space="preserve"> </w:t>
            </w:r>
            <w:r w:rsidRPr="00EC041C">
              <w:t>«Моё портфолио – шаг к будущему»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  <w:r>
              <w:t xml:space="preserve">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Разработка и распространение опыта по составлению портфолио школьниками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1.9.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Семинар – практикум для воспитателей</w:t>
            </w:r>
            <w:r>
              <w:t xml:space="preserve"> </w:t>
            </w:r>
            <w:r w:rsidRPr="00EC041C">
              <w:t>дошкольных образовательных учреждений (ДОУ) «Как составить карту успешности дошкольника?»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  <w:r>
              <w:t xml:space="preserve">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Разработка карты успешности дошкольника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1.10.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Семинар – совещание для педагогов ОУ и УДОД, воспитателей ДОУ «Социально-педагогическое сопровождение одарённых детей в образовательных учреждениях района различных типов»</w:t>
            </w:r>
            <w:r>
              <w:t xml:space="preserve"> 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Ежегодно</w:t>
            </w:r>
            <w:r>
              <w:t xml:space="preserve">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Организованное социально-педагогическое сопровождение одарённых детей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1.11.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Педагогическая мастерская «Формы работы с одаренными детьми в ОУ, УДОД, ДОУ»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В течение периода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Распространение педагогического опыта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1.12.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Участие в областных, всероссийских семинарах по проблемам выявления, развития и поддержки одарённых детей 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В течение периода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Распространение опыта работы с одарёнными детьми на областном, всероссийском уровнях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1.13.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Заседание районного родительского комитета 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Распространение опыта по работе с одаренными детьми</w:t>
            </w:r>
            <w:r>
              <w:t xml:space="preserve"> </w:t>
            </w:r>
          </w:p>
        </w:tc>
      </w:tr>
      <w:tr w:rsidR="00EF29B3" w:rsidRPr="00EC041C">
        <w:tc>
          <w:tcPr>
            <w:tcW w:w="15735" w:type="dxa"/>
            <w:gridSpan w:val="17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2. Информационно - методическое обеспечение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2.1.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Разработка программ по работе с одарёнными детьми в ОУ, УДОД, ДОУ, учреждениях культуры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Составление</w:t>
            </w:r>
            <w:r>
              <w:t xml:space="preserve"> </w:t>
            </w:r>
            <w:r w:rsidRPr="00EC041C">
              <w:t xml:space="preserve">программ по работе с одарёнными детьми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2.2.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Проведение диагностических исследований по выявлению одарённости и склонностей детей со старшего дошкольного возраста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Выявление одарённых и способных детей в разных видах деятельности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2.3.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Выпуск методических рекомендаций по работе с одарёнными детьми в ОУ, УДОД, ДОУ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Обобщение педагогического опыта по работе с одарёнными детьми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2.4.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Создание интернет-сайта «Одарённые дети Крапивинского муниципального района» 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В течение периода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Создание единого банка данных одарённых детей района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2.5.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Размещение информации о достижениях и результатах одарённых детей района на сайте «Одарённые дети Крапивинского муниципального района», сайте администрации Крапивинского муниципального района, сайте УО, в районной газете «Тайдонские родники» 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Мотивационная поддержка одарённых детей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2.6.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Выпуск районной детской газеты «Здравствуй, школа!»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 раз в месяц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10,0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5,0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5,0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Развитие коммуникативной одарённости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2.7.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Создание стендов и выпуск информационных буклетов об успешных выпускниках, о достижениях обучающихся в ОУ района 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Выпуск информационных сборников и буклетов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2.8.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Выпуск сборников работ победителей и призёров областных и всероссийских</w:t>
            </w:r>
            <w:r>
              <w:t xml:space="preserve"> </w:t>
            </w:r>
            <w:r w:rsidRPr="00EC041C">
              <w:t xml:space="preserve">научно-практических конференций 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Ежегодно, март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6,0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3,0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3,0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Мотивационная поддержка одарённых детей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2.9.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Мониторинг социально-педагогического сопровождения одарённых детей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В течение периода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Наличие сформированной системы диагностики по выявлению одарённых детей со старшего дошкольного возраста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2.10.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Мониторинг интеллектуальных и творческих способностей детей посредством результатов из участия в областных и всероссийских конкурсах, конференциях, олимпиадах.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В течение периода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Увеличение количества участников (доли участников) и призёров региональных и всероссийских конкурсов, олимпиад, конференций</w:t>
            </w:r>
          </w:p>
        </w:tc>
      </w:tr>
      <w:tr w:rsidR="00EF29B3" w:rsidRPr="00EC041C">
        <w:tc>
          <w:tcPr>
            <w:tcW w:w="15735" w:type="dxa"/>
            <w:gridSpan w:val="17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3. Районные мероприятия </w:t>
            </w:r>
          </w:p>
        </w:tc>
      </w:tr>
      <w:tr w:rsidR="00EF29B3" w:rsidRPr="00EC041C">
        <w:trPr>
          <w:trHeight w:val="698"/>
        </w:trPr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3.1.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Участие в международных, всероссийских и региональных конкурсах, конференциях, олимпиадах, Слётах.</w:t>
            </w:r>
            <w:r>
              <w:t xml:space="preserve"> 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330,0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160,0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170,0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Участие одарённых детей в международных, всероссийских и региональных конкурсах, конференциях, олимпиадах, Слётах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3.2.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Слёт одарённых детей района с вручением премии Главы Крапивинского муниципального района 50 одарённым детям района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Администрация Крапивинского муниципального района, УО, УК, отдел по делам молодёжи и спорту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Ежегодно, май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130,0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65,0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65,0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Вручение премии Главы Крапивинского муниципального района 50 одарённым детям района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3.3.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Организация школы раннего развития 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В течение периода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108,0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53,0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55,0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Развитие одарённости детей старшего дошкольного возраста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3.4.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Районная акция «Ты – гордость района, ты – гордость Кузбасса!»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 раза в год,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>январь, июнь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30,0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15,0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15,0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Поддержка отличников, обучающихся района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3.5.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Научно-практическая конференция</w:t>
            </w:r>
            <w:r>
              <w:t xml:space="preserve"> </w:t>
            </w:r>
            <w:r w:rsidRPr="00EC041C">
              <w:t>«Старт в науку»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Ежегодно,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 xml:space="preserve">февраль – март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54,39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  <w:r w:rsidRPr="00EC041C">
              <w:t>8,39</w:t>
            </w: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22,0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24,0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Развитие интеллектуальной одарённости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3.6.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Конкурс лидеров школьных детских организаций «Ключ к успеху»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Ежегодно,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 xml:space="preserve">февраль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22,0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10,0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12,0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Развитие коммуникативной одарённости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3.7.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Отчётно-выборная конференция Крапивинской районной детской организации «Парус Надежды» «Будущее зависит от тебя».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Ежегодно, ноябрь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22,0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10,0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12,0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Развитие коммуникативной одарённости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3.8.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Слёт волонтёров Крапивинского муниципального района 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Ежегодно, декабрь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22,0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10,0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12,0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Поощрение волонтёров района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3.9.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Слёт Крапивинской районной детской организации «Парус Надежды»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Ежегодно, 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 xml:space="preserve">май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28,0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12,0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14,0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Поощрение активистов</w:t>
            </w:r>
            <w:r>
              <w:t xml:space="preserve"> </w:t>
            </w:r>
            <w:r w:rsidRPr="00EC041C">
              <w:t xml:space="preserve">района 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3.10.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Заседание Совета и Штаба волонтёров Крапивинской районной детской организации «Парус Надежды»</w:t>
            </w:r>
            <w:r>
              <w:t xml:space="preserve"> 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1 раз в месяц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Развитие коммуникативной одарённости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3.11.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I (школьный) и</w:t>
            </w:r>
            <w:r>
              <w:t xml:space="preserve"> </w:t>
            </w:r>
            <w:r w:rsidRPr="00EC041C">
              <w:t>II (муниципальный) этапы Всероссийской предметной олимпиады школьников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УО 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Ежегодно,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>ноябрь</w:t>
            </w:r>
          </w:p>
          <w:p w:rsidR="00EF29B3" w:rsidRPr="00EC041C" w:rsidRDefault="00EF29B3" w:rsidP="00EC041C">
            <w:pPr>
              <w:pStyle w:val="Table"/>
            </w:pP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46,0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22,0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24,0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Развитие интеллектуальной одарённости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3.12.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Районный фестиваль детского творчества «Творчество юных»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Ежегодно,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 xml:space="preserve"> март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38,0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18,0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20,0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Развитие художественно -творческой одарённости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3.15.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Проведение профильных смен для одарённых детей</w:t>
            </w:r>
            <w:r>
              <w:t xml:space="preserve"> </w:t>
            </w:r>
            <w:r w:rsidRPr="00EC041C">
              <w:t xml:space="preserve">района 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Ежегодно,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>июнь - июль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240,0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120,0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120,0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Развитие коммуникативной одарённости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3.16.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Первенство района по СТК ГТЗО. Поощрение обучающихся, превысивших нормы СТК ГТЗО 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286,5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  <w:r w:rsidRPr="00EC041C">
              <w:t>2,5</w:t>
            </w: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140,0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144,0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Участие обучающихся 2-1 классов в сдаче норм СТК ГТЗО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3.17.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Президентские соревнования по баскетболу, волейболу среди ОУ района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128,45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  <w:r w:rsidRPr="00EC041C">
              <w:t>35,25</w:t>
            </w: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48,0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50,0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Развитие спортивной одарённости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3.18.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Районные спортивные соревнования по различным видам спорта (мини-футбол, спортивное многоборье)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В течение периода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100,85</w:t>
            </w:r>
          </w:p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  <w:r w:rsidRPr="00EC041C">
              <w:t>8,85</w:t>
            </w: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45,0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47,0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Развитие спортивной одарённости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3.19.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Районная предметная олимпиада по физической культуре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В течение периода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22,0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10,0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12,0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Развитие спортивной одарённости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3.20.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Районная Спартакиада для воспитанников ДОУ и семейных команд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62,0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30,0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32,0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Развитие спортивной одарённости</w:t>
            </w:r>
          </w:p>
        </w:tc>
      </w:tr>
      <w:tr w:rsidR="00EF29B3" w:rsidRPr="00EC041C">
        <w:tc>
          <w:tcPr>
            <w:tcW w:w="15735" w:type="dxa"/>
            <w:gridSpan w:val="17"/>
          </w:tcPr>
          <w:p w:rsidR="00EF29B3" w:rsidRPr="00EC041C" w:rsidRDefault="00EF29B3" w:rsidP="00EC041C">
            <w:pPr>
              <w:pStyle w:val="Table"/>
            </w:pPr>
            <w:r w:rsidRPr="00EC041C">
              <w:t>2. Подпрограмма «Поддержка талантливых педагогов Крапивинского муниципального района» на 2013-2015 годы.</w:t>
            </w:r>
          </w:p>
        </w:tc>
      </w:tr>
      <w:tr w:rsidR="00EF29B3" w:rsidRPr="00EC041C">
        <w:tc>
          <w:tcPr>
            <w:tcW w:w="5768" w:type="dxa"/>
            <w:gridSpan w:val="6"/>
          </w:tcPr>
          <w:p w:rsidR="00EF29B3" w:rsidRPr="00EC041C" w:rsidRDefault="00EF29B3" w:rsidP="00EC041C">
            <w:pPr>
              <w:pStyle w:val="Table"/>
            </w:pPr>
            <w:r w:rsidRPr="00EC041C">
              <w:t>ВСЕГО ПО ПОДПРОГРАММЕ: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698,145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  <w:r w:rsidRPr="00EC041C">
              <w:t>140,145</w:t>
            </w: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312,0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246,0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1.1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Проведение муниципального этапа Всероссийского конкурса «Учитель года»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219,0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  <w:r w:rsidRPr="00EC041C">
              <w:t>39,5</w:t>
            </w: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73,0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75,0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Участие педагогов в муниципальном этапе Всероссийского конкурса «Учитель года»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1.2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Участие в областном этапе Всероссийского конкурса «Учитель года»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68,0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  <w:r w:rsidRPr="00EC041C">
              <w:t>9,535</w:t>
            </w: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23,0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25,0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Участие педагогов в областном этапе конкурса «Учитель года»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1.3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Проведение муниципального</w:t>
            </w:r>
            <w:r>
              <w:t xml:space="preserve"> </w:t>
            </w:r>
            <w:r w:rsidRPr="00EC041C">
              <w:t>конкурса «Воспитатель года»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В течение периода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135,0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  <w:r w:rsidRPr="00EC041C">
              <w:t>55,15</w:t>
            </w: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44,0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45,0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Участие педагогов в муниципальном этапе конкурсе «Воспитатель года»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1.4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Участие в областном конкурсе «Лесенка успеха»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В течение периода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37,0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  <w:r w:rsidRPr="00EC041C">
              <w:t>9,360</w:t>
            </w: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12,0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15,0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Участие педагога в областном этапе конкурса «Лесенка успеха»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1.5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Проведение муниципального этапа областного конкурса «Самый классный классный»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25,0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25,0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-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Участие педагогов в муниципальном этапе областного конкурса «Самый классный классный»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1.6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Участие в областном конкурсе «Самый классный классный»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15,0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  <w:r w:rsidRPr="00EC041C">
              <w:t>8,6</w:t>
            </w: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115,0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-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Участие педагога в областном конкурсе «Самый классный классный»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1.7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Проведение муниципального этапа Всероссийского конкурса «Сердце отдаю детям»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25,0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225,0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-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Участие педагогов в муниципальном этапе Всероссийского конкурса «Сердце отдаю детям»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1.8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Участие в областном конкурсе «Сердце отдаю детям»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В течение периода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30,0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115,0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-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Участие педагога в областном конкурсе «Сердце отдаю детям»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1.9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Районный конкурс педагогического мастерства на грант главы «Педагогические таланты - 2013»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В течение периода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92,0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  <w:r w:rsidRPr="00EC041C">
              <w:t>18,0</w:t>
            </w: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330,0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332,0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Участие педагогов в муниципальном конкурсе «Лучшие педагоги района»</w:t>
            </w: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1.10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Мероприятия, направленные на поддержку и поощрение педагогических работников (конкурс на денежное поощрение лучших учителей)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84,0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228,0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229,0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Поддержка</w:t>
            </w:r>
            <w:r>
              <w:t xml:space="preserve"> </w:t>
            </w:r>
            <w:r w:rsidRPr="00EC041C">
              <w:t>и поощрение педагогических работников</w:t>
            </w:r>
          </w:p>
          <w:p w:rsidR="00EF29B3" w:rsidRPr="00EC041C" w:rsidRDefault="00EF29B3" w:rsidP="00EC041C">
            <w:pPr>
              <w:pStyle w:val="Table"/>
            </w:pPr>
          </w:p>
        </w:tc>
      </w:tr>
      <w:tr w:rsidR="00EF29B3" w:rsidRPr="00EC041C">
        <w:tc>
          <w:tcPr>
            <w:tcW w:w="661" w:type="dxa"/>
          </w:tcPr>
          <w:p w:rsidR="00EF29B3" w:rsidRPr="00EC041C" w:rsidRDefault="00EF29B3" w:rsidP="00EC041C">
            <w:pPr>
              <w:pStyle w:val="Table"/>
            </w:pPr>
            <w:r w:rsidRPr="00EC041C">
              <w:t>11.11</w:t>
            </w:r>
          </w:p>
        </w:tc>
        <w:tc>
          <w:tcPr>
            <w:tcW w:w="3309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Поощрение педагогов, подготовивших призёров предметных олимпиад областного уровня, победителей конкурсов. </w:t>
            </w:r>
          </w:p>
        </w:tc>
        <w:tc>
          <w:tcPr>
            <w:tcW w:w="1798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591" w:type="dxa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702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 течение периода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67,0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222,0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225,0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Поощрение педагогов, подготовивших призёров предметных олимпиад областного уровня, победителей конкурсов, спортивных соревнований.</w:t>
            </w:r>
          </w:p>
        </w:tc>
      </w:tr>
      <w:tr w:rsidR="00EF29B3" w:rsidRPr="00EC041C">
        <w:tc>
          <w:tcPr>
            <w:tcW w:w="15735" w:type="dxa"/>
            <w:gridSpan w:val="17"/>
          </w:tcPr>
          <w:p w:rsidR="00EF29B3" w:rsidRPr="00EC041C" w:rsidRDefault="00EF29B3" w:rsidP="00EC041C">
            <w:pPr>
              <w:pStyle w:val="Table"/>
            </w:pPr>
            <w:r w:rsidRPr="00EC041C">
              <w:t>3. «Привлечение молодых специалистов для работы в сфере образования Крапивинского муниципал</w:t>
            </w:r>
            <w:r>
              <w:t>ьного района» на 2013-2015 годы</w:t>
            </w:r>
          </w:p>
        </w:tc>
      </w:tr>
      <w:tr w:rsidR="00EF29B3" w:rsidRPr="00EC041C">
        <w:tc>
          <w:tcPr>
            <w:tcW w:w="5731" w:type="dxa"/>
            <w:gridSpan w:val="5"/>
          </w:tcPr>
          <w:p w:rsidR="00EF29B3" w:rsidRPr="00EC041C" w:rsidRDefault="00EF29B3" w:rsidP="00EC041C">
            <w:pPr>
              <w:pStyle w:val="Table"/>
            </w:pPr>
            <w:r w:rsidRPr="00EC041C">
              <w:t>ВСЕГО ПО ПОДПРОГРАММЕ:</w:t>
            </w:r>
          </w:p>
        </w:tc>
        <w:tc>
          <w:tcPr>
            <w:tcW w:w="1666" w:type="dxa"/>
            <w:gridSpan w:val="3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664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132,0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  <w:r w:rsidRPr="00EC041C">
              <w:t>40,0</w:t>
            </w: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75,0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85,0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</w:tr>
      <w:tr w:rsidR="00EF29B3" w:rsidRPr="00EC041C">
        <w:tc>
          <w:tcPr>
            <w:tcW w:w="69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1.</w:t>
            </w:r>
          </w:p>
        </w:tc>
        <w:tc>
          <w:tcPr>
            <w:tcW w:w="3248" w:type="dxa"/>
          </w:tcPr>
          <w:p w:rsidR="00EF29B3" w:rsidRPr="00EC041C" w:rsidRDefault="00EF29B3" w:rsidP="00EC041C">
            <w:pPr>
              <w:pStyle w:val="Table"/>
            </w:pPr>
            <w:r w:rsidRPr="00EC041C">
              <w:t>Формирование банка данных о наличии вакантных мест педагогических работников в муниципальных образовательных учреждениях Крапивинского муниципального района</w:t>
            </w:r>
          </w:p>
        </w:tc>
        <w:tc>
          <w:tcPr>
            <w:tcW w:w="1790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666" w:type="dxa"/>
            <w:gridSpan w:val="3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664" w:type="dxa"/>
          </w:tcPr>
          <w:p w:rsidR="00EF29B3" w:rsidRPr="00EC041C" w:rsidRDefault="00EF29B3" w:rsidP="00EC041C">
            <w:pPr>
              <w:pStyle w:val="Table"/>
            </w:pPr>
            <w:r w:rsidRPr="00EC041C">
              <w:t>2012-2015 годы (2 раза в год)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Наличие банка необходимых</w:t>
            </w:r>
            <w:r>
              <w:t xml:space="preserve"> </w:t>
            </w:r>
            <w:r w:rsidRPr="00EC041C">
              <w:t xml:space="preserve">данных </w:t>
            </w:r>
          </w:p>
        </w:tc>
      </w:tr>
      <w:tr w:rsidR="00EF29B3" w:rsidRPr="00EC041C">
        <w:tc>
          <w:tcPr>
            <w:tcW w:w="69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2.</w:t>
            </w:r>
          </w:p>
        </w:tc>
        <w:tc>
          <w:tcPr>
            <w:tcW w:w="3248" w:type="dxa"/>
          </w:tcPr>
          <w:p w:rsidR="00EF29B3" w:rsidRPr="00EC041C" w:rsidRDefault="00EF29B3" w:rsidP="00EC041C">
            <w:pPr>
              <w:pStyle w:val="Table"/>
            </w:pPr>
            <w:r w:rsidRPr="00EC041C">
              <w:t>Разработка Положения о единовременной денежной выплате молодым специалистам, поступившим на работу в муниципальные образовательные учреждения Крапивинского муниципального района</w:t>
            </w:r>
          </w:p>
        </w:tc>
        <w:tc>
          <w:tcPr>
            <w:tcW w:w="1790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666" w:type="dxa"/>
            <w:gridSpan w:val="3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664" w:type="dxa"/>
          </w:tcPr>
          <w:p w:rsidR="00EF29B3" w:rsidRPr="00EC041C" w:rsidRDefault="00EF29B3" w:rsidP="00EC041C">
            <w:pPr>
              <w:pStyle w:val="Table"/>
            </w:pPr>
            <w:r w:rsidRPr="00EC041C">
              <w:t>2012 год,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>ноябрь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«Положение о единовременной денежной выплате молодым специалистам, поступившим на работу в муниципальные образовательные учреждения Крапивинского муниципального района»</w:t>
            </w:r>
          </w:p>
        </w:tc>
      </w:tr>
      <w:tr w:rsidR="00EF29B3" w:rsidRPr="00EC041C">
        <w:tc>
          <w:tcPr>
            <w:tcW w:w="69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3.</w:t>
            </w:r>
          </w:p>
        </w:tc>
        <w:tc>
          <w:tcPr>
            <w:tcW w:w="3248" w:type="dxa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Разработка Положения о материальной помощи 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>молодым специалистам, поступившим на работу в муниципальные образовательные учреждения Крапивинского муниципального района</w:t>
            </w:r>
          </w:p>
        </w:tc>
        <w:tc>
          <w:tcPr>
            <w:tcW w:w="1790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666" w:type="dxa"/>
            <w:gridSpan w:val="3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664" w:type="dxa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2012 год, 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>ноябрь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«Положение о материальной помощи 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>молодым специалистам, поступившим на работу в муниципальные образовательные учреждения Крапивинского муниципального района»</w:t>
            </w:r>
          </w:p>
        </w:tc>
      </w:tr>
      <w:tr w:rsidR="00EF29B3" w:rsidRPr="00EC041C">
        <w:tc>
          <w:tcPr>
            <w:tcW w:w="69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4.</w:t>
            </w:r>
          </w:p>
        </w:tc>
        <w:tc>
          <w:tcPr>
            <w:tcW w:w="3248" w:type="dxa"/>
          </w:tcPr>
          <w:p w:rsidR="00EF29B3" w:rsidRPr="00EC041C" w:rsidRDefault="00EF29B3" w:rsidP="00EC041C">
            <w:pPr>
              <w:pStyle w:val="Table"/>
            </w:pPr>
            <w:r w:rsidRPr="00EC041C">
              <w:t>Созданий рабочей группы для реализации образовательной стратегии администрации района по привлечению молодых специалистов. Разработать положения о деятельности рабочей группы, план работы</w:t>
            </w:r>
          </w:p>
        </w:tc>
        <w:tc>
          <w:tcPr>
            <w:tcW w:w="1790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666" w:type="dxa"/>
            <w:gridSpan w:val="3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664" w:type="dxa"/>
          </w:tcPr>
          <w:p w:rsidR="00EF29B3" w:rsidRPr="00EC041C" w:rsidRDefault="00EF29B3" w:rsidP="00EC041C">
            <w:pPr>
              <w:pStyle w:val="Table"/>
            </w:pPr>
            <w:r w:rsidRPr="00EC041C">
              <w:t xml:space="preserve">2012-2013 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Реализация образовательной стратегии администрации района по привлечению молодых специалистов.</w:t>
            </w:r>
          </w:p>
        </w:tc>
      </w:tr>
      <w:tr w:rsidR="00EF29B3" w:rsidRPr="00EC041C">
        <w:tc>
          <w:tcPr>
            <w:tcW w:w="69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5.</w:t>
            </w:r>
          </w:p>
        </w:tc>
        <w:tc>
          <w:tcPr>
            <w:tcW w:w="3248" w:type="dxa"/>
          </w:tcPr>
          <w:p w:rsidR="00EF29B3" w:rsidRPr="00EC041C" w:rsidRDefault="00EF29B3" w:rsidP="00EC041C">
            <w:pPr>
              <w:pStyle w:val="Table"/>
            </w:pPr>
            <w:r w:rsidRPr="00EC041C">
              <w:t>Организовать работу по ориентации учащихся на педагогические профессии.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>Организовать работу по целевому набору в вузы педагогического профиля (по согласованию)</w:t>
            </w:r>
          </w:p>
        </w:tc>
        <w:tc>
          <w:tcPr>
            <w:tcW w:w="1790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666" w:type="dxa"/>
            <w:gridSpan w:val="3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664" w:type="dxa"/>
          </w:tcPr>
          <w:p w:rsidR="00EF29B3" w:rsidRPr="00EC041C" w:rsidRDefault="00EF29B3" w:rsidP="00EC041C">
            <w:pPr>
              <w:pStyle w:val="Table"/>
            </w:pPr>
            <w:r w:rsidRPr="00EC041C">
              <w:t>постоянно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Привлечение выпускников к обучению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>Педагогическим профессиям</w:t>
            </w:r>
          </w:p>
        </w:tc>
      </w:tr>
      <w:tr w:rsidR="00EF29B3" w:rsidRPr="00EC041C">
        <w:tc>
          <w:tcPr>
            <w:tcW w:w="69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6.</w:t>
            </w:r>
          </w:p>
        </w:tc>
        <w:tc>
          <w:tcPr>
            <w:tcW w:w="3248" w:type="dxa"/>
          </w:tcPr>
          <w:p w:rsidR="00EF29B3" w:rsidRPr="00EC041C" w:rsidRDefault="00EF29B3" w:rsidP="00EC041C">
            <w:pPr>
              <w:pStyle w:val="Table"/>
            </w:pPr>
            <w:r w:rsidRPr="00EC041C">
              <w:t>Разработка Положения о конкурсе "Молодой специалист года"</w:t>
            </w:r>
          </w:p>
        </w:tc>
        <w:tc>
          <w:tcPr>
            <w:tcW w:w="1790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666" w:type="dxa"/>
            <w:gridSpan w:val="3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1664" w:type="dxa"/>
          </w:tcPr>
          <w:p w:rsidR="00EF29B3" w:rsidRPr="00EC041C" w:rsidRDefault="00EF29B3" w:rsidP="00EC041C">
            <w:pPr>
              <w:pStyle w:val="Table"/>
            </w:pPr>
            <w:r w:rsidRPr="00EC041C">
              <w:t>2012,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>,ноябрь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«Положение о конкурсе "Молодой специалист года"</w:t>
            </w:r>
          </w:p>
        </w:tc>
      </w:tr>
      <w:tr w:rsidR="00EF29B3" w:rsidRPr="00EC041C">
        <w:tc>
          <w:tcPr>
            <w:tcW w:w="69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7.</w:t>
            </w:r>
          </w:p>
        </w:tc>
        <w:tc>
          <w:tcPr>
            <w:tcW w:w="3248" w:type="dxa"/>
          </w:tcPr>
          <w:p w:rsidR="00EF29B3" w:rsidRPr="00EC041C" w:rsidRDefault="00EF29B3" w:rsidP="00EC041C">
            <w:pPr>
              <w:pStyle w:val="Table"/>
            </w:pPr>
            <w:r w:rsidRPr="00EC041C">
              <w:t>Единовременные выплаты молодым специалистам, поступившим на работу в муниципальные образовательные учреждения Крапивинского муниципального района</w:t>
            </w:r>
          </w:p>
          <w:p w:rsidR="00EF29B3" w:rsidRPr="00EC041C" w:rsidRDefault="00EF29B3" w:rsidP="00EC041C">
            <w:pPr>
              <w:pStyle w:val="Table"/>
            </w:pPr>
          </w:p>
        </w:tc>
        <w:tc>
          <w:tcPr>
            <w:tcW w:w="1790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666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664" w:type="dxa"/>
          </w:tcPr>
          <w:p w:rsidR="00EF29B3" w:rsidRPr="00EC041C" w:rsidRDefault="00EF29B3" w:rsidP="00EC041C">
            <w:pPr>
              <w:pStyle w:val="Table"/>
            </w:pPr>
            <w:r w:rsidRPr="00EC041C">
              <w:t>2013-2015 годы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180000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  <w:r w:rsidRPr="00EC041C">
              <w:t>40,0</w:t>
            </w:r>
          </w:p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60,0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>6*10</w:t>
            </w: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70,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>7*10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>0</w:t>
            </w: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Поддержка молодых специалистов</w:t>
            </w:r>
          </w:p>
        </w:tc>
      </w:tr>
      <w:tr w:rsidR="00EF29B3" w:rsidRPr="00EC041C">
        <w:tc>
          <w:tcPr>
            <w:tcW w:w="69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8.</w:t>
            </w:r>
          </w:p>
        </w:tc>
        <w:tc>
          <w:tcPr>
            <w:tcW w:w="3248" w:type="dxa"/>
          </w:tcPr>
          <w:p w:rsidR="00EF29B3" w:rsidRPr="00EC041C" w:rsidRDefault="00EF29B3" w:rsidP="00EC041C">
            <w:pPr>
              <w:pStyle w:val="Table"/>
            </w:pPr>
            <w:r w:rsidRPr="00EC041C">
              <w:t>Проведение конкурса "Молодой специалист года"</w:t>
            </w:r>
          </w:p>
        </w:tc>
        <w:tc>
          <w:tcPr>
            <w:tcW w:w="1790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УО</w:t>
            </w:r>
          </w:p>
        </w:tc>
        <w:tc>
          <w:tcPr>
            <w:tcW w:w="1666" w:type="dxa"/>
            <w:gridSpan w:val="3"/>
          </w:tcPr>
          <w:p w:rsidR="00EF29B3" w:rsidRPr="00EC041C" w:rsidRDefault="00EF29B3" w:rsidP="00EC041C">
            <w:pPr>
              <w:pStyle w:val="Table"/>
            </w:pPr>
            <w:r w:rsidRPr="00EC041C">
              <w:t>МБ</w:t>
            </w:r>
          </w:p>
        </w:tc>
        <w:tc>
          <w:tcPr>
            <w:tcW w:w="1664" w:type="dxa"/>
          </w:tcPr>
          <w:p w:rsidR="00EF29B3" w:rsidRPr="00EC041C" w:rsidRDefault="00EF29B3" w:rsidP="00EC041C">
            <w:pPr>
              <w:pStyle w:val="Table"/>
            </w:pPr>
            <w:r w:rsidRPr="00EC041C">
              <w:t>2013 -2015 годы</w:t>
            </w:r>
          </w:p>
        </w:tc>
        <w:tc>
          <w:tcPr>
            <w:tcW w:w="156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45000</w:t>
            </w:r>
          </w:p>
        </w:tc>
        <w:tc>
          <w:tcPr>
            <w:tcW w:w="992" w:type="dxa"/>
          </w:tcPr>
          <w:p w:rsidR="00EF29B3" w:rsidRPr="00EC041C" w:rsidRDefault="00EF29B3" w:rsidP="00EC041C">
            <w:pPr>
              <w:pStyle w:val="Table"/>
            </w:pPr>
          </w:p>
        </w:tc>
        <w:tc>
          <w:tcPr>
            <w:tcW w:w="850" w:type="dxa"/>
          </w:tcPr>
          <w:p w:rsidR="00EF29B3" w:rsidRPr="00EC041C" w:rsidRDefault="00EF29B3" w:rsidP="00EC041C">
            <w:pPr>
              <w:pStyle w:val="Table"/>
            </w:pPr>
            <w:r w:rsidRPr="00EC041C">
              <w:t>15,0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>1*7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>2*4</w:t>
            </w:r>
          </w:p>
          <w:p w:rsidR="00EF29B3" w:rsidRPr="00EC041C" w:rsidRDefault="00EF29B3" w:rsidP="00EC041C">
            <w:pPr>
              <w:pStyle w:val="Table"/>
            </w:pPr>
          </w:p>
        </w:tc>
        <w:tc>
          <w:tcPr>
            <w:tcW w:w="853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15,0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>1*7</w:t>
            </w:r>
          </w:p>
          <w:p w:rsidR="00EF29B3" w:rsidRPr="00EC041C" w:rsidRDefault="00EF29B3" w:rsidP="00EC041C">
            <w:pPr>
              <w:pStyle w:val="Table"/>
            </w:pPr>
            <w:r w:rsidRPr="00EC041C">
              <w:t>2*4</w:t>
            </w:r>
          </w:p>
          <w:p w:rsidR="00EF29B3" w:rsidRPr="00EC041C" w:rsidRDefault="00EF29B3" w:rsidP="00EC041C">
            <w:pPr>
              <w:pStyle w:val="Table"/>
            </w:pPr>
          </w:p>
        </w:tc>
        <w:tc>
          <w:tcPr>
            <w:tcW w:w="2416" w:type="dxa"/>
            <w:gridSpan w:val="2"/>
          </w:tcPr>
          <w:p w:rsidR="00EF29B3" w:rsidRPr="00EC041C" w:rsidRDefault="00EF29B3" w:rsidP="00EC041C">
            <w:pPr>
              <w:pStyle w:val="Table"/>
            </w:pPr>
            <w:r w:rsidRPr="00EC041C">
              <w:t>Выявление и поддержка талантливых молодых специалистов</w:t>
            </w:r>
          </w:p>
        </w:tc>
      </w:tr>
    </w:tbl>
    <w:p w:rsidR="00EF29B3" w:rsidRDefault="00EF29B3" w:rsidP="00EC041C"/>
    <w:sectPr w:rsidR="00EF29B3" w:rsidSect="00EC0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9B3" w:rsidRDefault="00EF29B3">
      <w:r>
        <w:separator/>
      </w:r>
    </w:p>
  </w:endnote>
  <w:endnote w:type="continuationSeparator" w:id="0">
    <w:p w:rsidR="00EF29B3" w:rsidRDefault="00EF2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9B3" w:rsidRDefault="00EF29B3">
      <w:r>
        <w:separator/>
      </w:r>
    </w:p>
  </w:footnote>
  <w:footnote w:type="continuationSeparator" w:id="0">
    <w:p w:rsidR="00EF29B3" w:rsidRDefault="00EF2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372A6"/>
    <w:rsid w:val="00047A2E"/>
    <w:rsid w:val="000527FC"/>
    <w:rsid w:val="00052CC7"/>
    <w:rsid w:val="00053BED"/>
    <w:rsid w:val="000E00AD"/>
    <w:rsid w:val="000E4C6A"/>
    <w:rsid w:val="000F39C7"/>
    <w:rsid w:val="001017FA"/>
    <w:rsid w:val="001161F0"/>
    <w:rsid w:val="00120F36"/>
    <w:rsid w:val="00121527"/>
    <w:rsid w:val="001324CA"/>
    <w:rsid w:val="00141752"/>
    <w:rsid w:val="001474A8"/>
    <w:rsid w:val="00157E47"/>
    <w:rsid w:val="00167D66"/>
    <w:rsid w:val="0017439C"/>
    <w:rsid w:val="00186B62"/>
    <w:rsid w:val="00187B69"/>
    <w:rsid w:val="0019696A"/>
    <w:rsid w:val="00202427"/>
    <w:rsid w:val="0022733D"/>
    <w:rsid w:val="00242D0A"/>
    <w:rsid w:val="002470F9"/>
    <w:rsid w:val="0024724C"/>
    <w:rsid w:val="00273CF8"/>
    <w:rsid w:val="00296BD0"/>
    <w:rsid w:val="002A4C98"/>
    <w:rsid w:val="002A7558"/>
    <w:rsid w:val="002C36C6"/>
    <w:rsid w:val="002D1498"/>
    <w:rsid w:val="0031050D"/>
    <w:rsid w:val="00322014"/>
    <w:rsid w:val="00330BFC"/>
    <w:rsid w:val="003333D0"/>
    <w:rsid w:val="00345673"/>
    <w:rsid w:val="003501E5"/>
    <w:rsid w:val="0035612F"/>
    <w:rsid w:val="00374F1C"/>
    <w:rsid w:val="00381205"/>
    <w:rsid w:val="00385FD7"/>
    <w:rsid w:val="00393690"/>
    <w:rsid w:val="00393CD0"/>
    <w:rsid w:val="003A0646"/>
    <w:rsid w:val="003A6A38"/>
    <w:rsid w:val="003C5BAF"/>
    <w:rsid w:val="003C5E84"/>
    <w:rsid w:val="003D1E8C"/>
    <w:rsid w:val="003E581A"/>
    <w:rsid w:val="003F0D12"/>
    <w:rsid w:val="00403E77"/>
    <w:rsid w:val="004068CD"/>
    <w:rsid w:val="004207EB"/>
    <w:rsid w:val="00441D1F"/>
    <w:rsid w:val="00452E04"/>
    <w:rsid w:val="004648FD"/>
    <w:rsid w:val="00467FED"/>
    <w:rsid w:val="00474014"/>
    <w:rsid w:val="004763E8"/>
    <w:rsid w:val="00487895"/>
    <w:rsid w:val="004B5810"/>
    <w:rsid w:val="004C51EE"/>
    <w:rsid w:val="004D2937"/>
    <w:rsid w:val="004D73D2"/>
    <w:rsid w:val="004E7B98"/>
    <w:rsid w:val="004F2F13"/>
    <w:rsid w:val="004F380B"/>
    <w:rsid w:val="004F6196"/>
    <w:rsid w:val="00513122"/>
    <w:rsid w:val="0051493B"/>
    <w:rsid w:val="00521021"/>
    <w:rsid w:val="00521EA8"/>
    <w:rsid w:val="00527FBA"/>
    <w:rsid w:val="00561200"/>
    <w:rsid w:val="00597222"/>
    <w:rsid w:val="005A723C"/>
    <w:rsid w:val="005B6141"/>
    <w:rsid w:val="00613715"/>
    <w:rsid w:val="00615E01"/>
    <w:rsid w:val="00621100"/>
    <w:rsid w:val="00624BBC"/>
    <w:rsid w:val="006306DD"/>
    <w:rsid w:val="00642368"/>
    <w:rsid w:val="00644772"/>
    <w:rsid w:val="00677611"/>
    <w:rsid w:val="00680400"/>
    <w:rsid w:val="00684F6E"/>
    <w:rsid w:val="006A5D89"/>
    <w:rsid w:val="006D4804"/>
    <w:rsid w:val="006E25BA"/>
    <w:rsid w:val="006E5C20"/>
    <w:rsid w:val="00701DF3"/>
    <w:rsid w:val="00707F76"/>
    <w:rsid w:val="00725958"/>
    <w:rsid w:val="0073674A"/>
    <w:rsid w:val="00741ACB"/>
    <w:rsid w:val="007616BB"/>
    <w:rsid w:val="00767EFD"/>
    <w:rsid w:val="00773D53"/>
    <w:rsid w:val="007902F6"/>
    <w:rsid w:val="0079537D"/>
    <w:rsid w:val="007B070F"/>
    <w:rsid w:val="007D040C"/>
    <w:rsid w:val="007E7193"/>
    <w:rsid w:val="00800D14"/>
    <w:rsid w:val="00813F7B"/>
    <w:rsid w:val="00835650"/>
    <w:rsid w:val="008414B0"/>
    <w:rsid w:val="0085491B"/>
    <w:rsid w:val="0085756A"/>
    <w:rsid w:val="00874631"/>
    <w:rsid w:val="00885303"/>
    <w:rsid w:val="00885543"/>
    <w:rsid w:val="008A068F"/>
    <w:rsid w:val="008A1343"/>
    <w:rsid w:val="008A5601"/>
    <w:rsid w:val="008F5168"/>
    <w:rsid w:val="00912E1E"/>
    <w:rsid w:val="0095139C"/>
    <w:rsid w:val="009707AF"/>
    <w:rsid w:val="009844C7"/>
    <w:rsid w:val="009D4F4A"/>
    <w:rsid w:val="00A0139E"/>
    <w:rsid w:val="00A17303"/>
    <w:rsid w:val="00A202A4"/>
    <w:rsid w:val="00A218C4"/>
    <w:rsid w:val="00A445D8"/>
    <w:rsid w:val="00A9281F"/>
    <w:rsid w:val="00AA402A"/>
    <w:rsid w:val="00AC6DEF"/>
    <w:rsid w:val="00B21FDF"/>
    <w:rsid w:val="00B25173"/>
    <w:rsid w:val="00B30171"/>
    <w:rsid w:val="00B47F1B"/>
    <w:rsid w:val="00B52EDC"/>
    <w:rsid w:val="00B53AEF"/>
    <w:rsid w:val="00B65A94"/>
    <w:rsid w:val="00B9033A"/>
    <w:rsid w:val="00B94BD9"/>
    <w:rsid w:val="00BA1D33"/>
    <w:rsid w:val="00BC39E8"/>
    <w:rsid w:val="00BE0386"/>
    <w:rsid w:val="00BE657F"/>
    <w:rsid w:val="00C20548"/>
    <w:rsid w:val="00C32079"/>
    <w:rsid w:val="00C461C7"/>
    <w:rsid w:val="00C50822"/>
    <w:rsid w:val="00C5398E"/>
    <w:rsid w:val="00C53B38"/>
    <w:rsid w:val="00C555A8"/>
    <w:rsid w:val="00C71DB0"/>
    <w:rsid w:val="00C93C27"/>
    <w:rsid w:val="00CD18A6"/>
    <w:rsid w:val="00CD43C1"/>
    <w:rsid w:val="00CE133A"/>
    <w:rsid w:val="00CF3B58"/>
    <w:rsid w:val="00D04CA3"/>
    <w:rsid w:val="00D16758"/>
    <w:rsid w:val="00D2199C"/>
    <w:rsid w:val="00D22008"/>
    <w:rsid w:val="00D70C2B"/>
    <w:rsid w:val="00D73DFB"/>
    <w:rsid w:val="00D83A1F"/>
    <w:rsid w:val="00D87981"/>
    <w:rsid w:val="00D90806"/>
    <w:rsid w:val="00DB0F72"/>
    <w:rsid w:val="00DC70F2"/>
    <w:rsid w:val="00DD7D23"/>
    <w:rsid w:val="00DE7B65"/>
    <w:rsid w:val="00DF2445"/>
    <w:rsid w:val="00DF28F0"/>
    <w:rsid w:val="00E04A50"/>
    <w:rsid w:val="00E249E3"/>
    <w:rsid w:val="00E328F8"/>
    <w:rsid w:val="00E72A9B"/>
    <w:rsid w:val="00E953E4"/>
    <w:rsid w:val="00EB1CB8"/>
    <w:rsid w:val="00EC041C"/>
    <w:rsid w:val="00EC1DA1"/>
    <w:rsid w:val="00EC1FBC"/>
    <w:rsid w:val="00ED3AF2"/>
    <w:rsid w:val="00EF29B3"/>
    <w:rsid w:val="00EF337E"/>
    <w:rsid w:val="00F066E2"/>
    <w:rsid w:val="00F07ECD"/>
    <w:rsid w:val="00F1129A"/>
    <w:rsid w:val="00F31B0D"/>
    <w:rsid w:val="00F36643"/>
    <w:rsid w:val="00F91D18"/>
    <w:rsid w:val="00F959C7"/>
    <w:rsid w:val="00FA6D29"/>
    <w:rsid w:val="00FB55B6"/>
    <w:rsid w:val="00FE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C041C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C041C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C041C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C041C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C041C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EC041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C041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C041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EC041C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5708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0E4C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41AC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F066E2"/>
    <w:rPr>
      <w:rFonts w:eastAsia="Times New Roman" w:cs="Calibri"/>
      <w:lang w:eastAsia="en-US"/>
    </w:rPr>
  </w:style>
  <w:style w:type="paragraph" w:customStyle="1" w:styleId="a">
    <w:name w:val="Знак"/>
    <w:basedOn w:val="Normal"/>
    <w:uiPriority w:val="99"/>
    <w:rsid w:val="008855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D219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5708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219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5708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D2199C"/>
    <w:pPr>
      <w:ind w:left="720"/>
    </w:pPr>
    <w:rPr>
      <w:rFonts w:ascii="Times New Roman" w:hAnsi="Times New Roman" w:cs="Times New Roman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C041C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C041C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C041C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EC041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C041C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EC04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C041C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C041C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14</Pages>
  <Words>2002</Words>
  <Characters>11416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3</cp:revision>
  <cp:lastPrinted>2014-01-10T03:19:00Z</cp:lastPrinted>
  <dcterms:created xsi:type="dcterms:W3CDTF">2014-01-10T03:23:00Z</dcterms:created>
  <dcterms:modified xsi:type="dcterms:W3CDTF">2014-05-07T09:45:00Z</dcterms:modified>
</cp:coreProperties>
</file>