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Утвержден</w:t>
      </w:r>
    </w:p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Крапивинского муниципального</w:t>
      </w:r>
      <w:r>
        <w:rPr>
          <w:b/>
          <w:bCs/>
          <w:kern w:val="28"/>
          <w:sz w:val="32"/>
          <w:szCs w:val="32"/>
        </w:rPr>
        <w:t xml:space="preserve"> района</w:t>
      </w:r>
    </w:p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от 23.05.2014 г. №641</w:t>
      </w:r>
    </w:p>
    <w:p w:rsidR="000D63A2" w:rsidRPr="003869DE" w:rsidRDefault="000D63A2" w:rsidP="00A20706">
      <w:pPr>
        <w:jc w:val="center"/>
        <w:rPr>
          <w:b/>
          <w:bCs/>
          <w:kern w:val="32"/>
          <w:sz w:val="32"/>
          <w:szCs w:val="32"/>
        </w:rPr>
      </w:pPr>
      <w:r w:rsidRPr="003869DE">
        <w:rPr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сферы, направленные на повышение эффективности сферы культуры в Крапивинском муниципальном районе»</w:t>
      </w:r>
    </w:p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I. Цели разработки «дорожной карты»</w:t>
      </w:r>
    </w:p>
    <w:p w:rsidR="000D63A2" w:rsidRPr="003869DE" w:rsidRDefault="000D63A2" w:rsidP="00A20706"/>
    <w:p w:rsidR="000D63A2" w:rsidRPr="003869DE" w:rsidRDefault="000D63A2" w:rsidP="00A20706">
      <w:r w:rsidRPr="003869DE">
        <w:t>Целями плана мероприятий («дорожной карты») «Изменения в отраслях социальной сферы, направленные на повышение эффективности сферы культуры в Крапивинском муниципальном районе» (далее – «дорожная карта») являются:</w:t>
      </w:r>
    </w:p>
    <w:p w:rsidR="000D63A2" w:rsidRPr="003869DE" w:rsidRDefault="000D63A2" w:rsidP="00A20706">
      <w:r w:rsidRPr="003869DE">
        <w:t>повышение качества жизни населения Крапивинского района, создание условий для их творческой самореализации;</w:t>
      </w:r>
    </w:p>
    <w:p w:rsidR="000D63A2" w:rsidRPr="003869DE" w:rsidRDefault="000D63A2" w:rsidP="00A20706">
      <w:r w:rsidRPr="003869DE">
        <w:t>создание благоприятных условий для устойчивого развития сферы культуры области;</w:t>
      </w:r>
    </w:p>
    <w:p w:rsidR="000D63A2" w:rsidRPr="003869DE" w:rsidRDefault="000D63A2" w:rsidP="00A20706">
      <w:r w:rsidRPr="003869DE">
        <w:t>обеспечение достойной оплаты труда работников учреждений культуры как результат повышения качества и количества, оказываемых ими</w:t>
      </w:r>
      <w:bookmarkStart w:id="0" w:name="_GoBack"/>
      <w:bookmarkEnd w:id="0"/>
      <w:r w:rsidRPr="003869DE">
        <w:t xml:space="preserve"> государственных услуг;</w:t>
      </w:r>
    </w:p>
    <w:p w:rsidR="000D63A2" w:rsidRPr="003869DE" w:rsidRDefault="000D63A2" w:rsidP="00A20706">
      <w:r w:rsidRPr="003869DE">
        <w:t>развитие и сохранение кадрового потенциала учреждений культуры;</w:t>
      </w:r>
    </w:p>
    <w:p w:rsidR="000D63A2" w:rsidRPr="003869DE" w:rsidRDefault="000D63A2" w:rsidP="00A20706">
      <w:r w:rsidRPr="003869DE">
        <w:t>повышение престижности и привлекательности профессий в сфере культуры;</w:t>
      </w:r>
    </w:p>
    <w:p w:rsidR="000D63A2" w:rsidRPr="003869DE" w:rsidRDefault="000D63A2" w:rsidP="00A20706">
      <w:r w:rsidRPr="003869DE">
        <w:t>сохранение исторического и культурного наследия Крапивинского района, обеспечение доступа граждан к культурным ценностям и участию в культурной жизни;</w:t>
      </w:r>
    </w:p>
    <w:p w:rsidR="000D63A2" w:rsidRPr="003869DE" w:rsidRDefault="000D63A2" w:rsidP="00A20706">
      <w:r w:rsidRPr="003869DE">
        <w:t>воспитание (формирование) подрастающего поколения в духе культурных традиций Российской Федерации, Кемеровской области и Крапивинского района, создание условий для развития творческих способностей и социализации современной молодежи.</w:t>
      </w:r>
    </w:p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II. Проведение структурных реформ в сфере культуры</w:t>
      </w:r>
    </w:p>
    <w:p w:rsidR="000D63A2" w:rsidRPr="003869DE" w:rsidRDefault="000D63A2" w:rsidP="00A20706"/>
    <w:p w:rsidR="000D63A2" w:rsidRPr="003869DE" w:rsidRDefault="000D63A2" w:rsidP="00A20706">
      <w:r w:rsidRPr="003869DE">
        <w:t>В рамках структурных реформ предусматриваются:</w:t>
      </w:r>
    </w:p>
    <w:p w:rsidR="000D63A2" w:rsidRPr="003869DE" w:rsidRDefault="000D63A2" w:rsidP="00A20706">
      <w:r w:rsidRPr="003869DE">
        <w:t>повышение качества и расширение спектра государственных услуг в сфере культуры;</w:t>
      </w:r>
    </w:p>
    <w:p w:rsidR="000D63A2" w:rsidRPr="003869DE" w:rsidRDefault="000D63A2" w:rsidP="00A20706">
      <w:r w:rsidRPr="003869DE">
        <w:t>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0D63A2" w:rsidRPr="003869DE" w:rsidRDefault="000D63A2" w:rsidP="00A20706">
      <w:r w:rsidRPr="003869DE">
        <w:t>обеспечение сохранности и осуществление популяризации многонационального культурного наследия народов России;</w:t>
      </w:r>
    </w:p>
    <w:p w:rsidR="000D63A2" w:rsidRPr="003869DE" w:rsidRDefault="000D63A2" w:rsidP="00A20706">
      <w:r w:rsidRPr="003869DE">
        <w:t>обеспечение равного доступа населения к услугам учреждений культуры, информации и культурным ценностям, включая российское и мировое культурное наследие, современной национальной и мировой культуре, глобальным информационным ресурсам;</w:t>
      </w:r>
    </w:p>
    <w:p w:rsidR="000D63A2" w:rsidRPr="003869DE" w:rsidRDefault="000D63A2" w:rsidP="00A20706">
      <w:r w:rsidRPr="003869DE">
        <w:t>создание условий для повышения качества и конкурентоспособности услуг, предоставляемых учреждениями культуры Крапивинского района;</w:t>
      </w:r>
    </w:p>
    <w:p w:rsidR="000D63A2" w:rsidRPr="003869DE" w:rsidRDefault="000D63A2" w:rsidP="00A20706">
      <w:r w:rsidRPr="003869DE">
        <w:t>сохранение и развитие традиционной народной культуры, народных художественных промыслов;</w:t>
      </w:r>
    </w:p>
    <w:p w:rsidR="000D63A2" w:rsidRPr="003869DE" w:rsidRDefault="000D63A2" w:rsidP="00A20706">
      <w:r w:rsidRPr="003869DE">
        <w:t>осуществление компьютеризации и информатизации учреждений культуры;</w:t>
      </w:r>
    </w:p>
    <w:p w:rsidR="000D63A2" w:rsidRPr="003869DE" w:rsidRDefault="000D63A2" w:rsidP="00A20706">
      <w:r w:rsidRPr="003869DE">
        <w:t>осуществление модернизации и развитие инфраструктуры учреждений в сфере культуры;</w:t>
      </w:r>
    </w:p>
    <w:p w:rsidR="000D63A2" w:rsidRPr="003869DE" w:rsidRDefault="000D63A2" w:rsidP="00A20706">
      <w:r w:rsidRPr="003869DE">
        <w:t>выдвижение достижений и культурного наследия Крапивинского района на областной и российский культурный уровень;</w:t>
      </w:r>
    </w:p>
    <w:p w:rsidR="000D63A2" w:rsidRPr="003869DE" w:rsidRDefault="000D63A2" w:rsidP="00A20706">
      <w:r w:rsidRPr="003869DE">
        <w:t>обеспечение совершенствования организационных, экономических и правовых механизмов развития сферы культуры.</w:t>
      </w:r>
    </w:p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III. Целевые показатели (индикаторы) развития сферы культуры и меры, обеспечивающие их достижение</w:t>
      </w:r>
    </w:p>
    <w:p w:rsidR="000D63A2" w:rsidRPr="003869DE" w:rsidRDefault="000D63A2" w:rsidP="00A20706">
      <w:pPr>
        <w:rPr>
          <w:b/>
          <w:bCs/>
          <w:sz w:val="28"/>
          <w:szCs w:val="28"/>
        </w:rPr>
      </w:pPr>
    </w:p>
    <w:p w:rsidR="000D63A2" w:rsidRPr="003869DE" w:rsidRDefault="000D63A2" w:rsidP="00A20706">
      <w:pPr>
        <w:numPr>
          <w:ilvl w:val="0"/>
          <w:numId w:val="15"/>
        </w:numPr>
        <w:rPr>
          <w:b/>
          <w:bCs/>
          <w:sz w:val="28"/>
          <w:szCs w:val="28"/>
        </w:rPr>
      </w:pPr>
      <w:r w:rsidRPr="003869DE">
        <w:rPr>
          <w:b/>
          <w:bCs/>
          <w:sz w:val="28"/>
          <w:szCs w:val="28"/>
        </w:rPr>
        <w:t xml:space="preserve"> С ростом эффективности и качества оказываемых услуг будут достигнуты следующие целевые показатели (индикаторы):</w:t>
      </w:r>
    </w:p>
    <w:p w:rsidR="000D63A2" w:rsidRPr="003869DE" w:rsidRDefault="000D63A2" w:rsidP="00A20706"/>
    <w:p w:rsidR="000D63A2" w:rsidRPr="003869DE" w:rsidRDefault="000D63A2" w:rsidP="00A20706">
      <w:r w:rsidRPr="003869DE">
        <w:t>1) увеличение количества библиографических записей в сводном электронном каталоге библиотек муниципальных государственных и муниципальных библиотек Кемеровской области, в том числе включенных в электронный каталог библиотек России (по сравнению с предыдущим годом): </w:t>
      </w:r>
    </w:p>
    <w:p w:rsidR="000D63A2" w:rsidRPr="003869DE" w:rsidRDefault="000D63A2" w:rsidP="00A20706"/>
    <w:p w:rsidR="000D63A2" w:rsidRPr="003869DE" w:rsidRDefault="000D63A2" w:rsidP="00A20706">
      <w:r w:rsidRPr="003869DE">
        <w:t>(коэффициент динамики)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5"/>
        <w:gridCol w:w="1366"/>
        <w:gridCol w:w="1366"/>
        <w:gridCol w:w="1365"/>
        <w:gridCol w:w="1365"/>
        <w:gridCol w:w="1365"/>
        <w:gridCol w:w="1178"/>
      </w:tblGrid>
      <w:tr w:rsidR="000D63A2" w:rsidRPr="003869DE">
        <w:tc>
          <w:tcPr>
            <w:tcW w:w="13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3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1,7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1,8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1,9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2,1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2,2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2,3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2)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rPr>
          <w:jc w:val="center"/>
        </w:trPr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rPr>
          <w:jc w:val="center"/>
        </w:trPr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21,7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23,7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24,7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26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3) увеличение посещаемости музея:</w:t>
      </w:r>
    </w:p>
    <w:p w:rsidR="000D63A2" w:rsidRPr="003869DE" w:rsidRDefault="000D63A2" w:rsidP="00A20706"/>
    <w:p w:rsidR="000D63A2" w:rsidRPr="003869DE" w:rsidRDefault="000D63A2" w:rsidP="00A20706">
      <w:r w:rsidRPr="003869DE">
        <w:t>(посещений на 1 жителя в год)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0,53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0,55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0,58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0,63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0,67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0,9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4) увеличение численности участников культурно-досуговых мероприятий (по сравнению с предыдущим годом):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7,3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5) повышение уровня удовлетворенности граждан Крапивинского района качеством предоставления государственных и муниципальных услуг в сфере культуры: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90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6)увеличение доли муниципальных библиотек, подключенных к информационно-коммуникационной сети «Интернет», в общем количестве библиотек Крапивинского района: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53,9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58,6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63,3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77,4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82,2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7) увеличение доли музеев, имеющих сайт в сети «Интернет», в общем количестве муниципальных музеев Крапивинского района:</w:t>
      </w:r>
    </w:p>
    <w:p w:rsidR="000D63A2" w:rsidRPr="003869DE" w:rsidRDefault="000D63A2" w:rsidP="00A20706"/>
    <w:p w:rsidR="000D63A2" w:rsidRPr="003869DE" w:rsidRDefault="000D63A2" w:rsidP="00A20706">
      <w:r w:rsidRPr="003869DE">
        <w:t>(единиц)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8) увеличение объема передвижного фонда музея Крапивинского района для экспонирования произведений искусств в музеях и галереях малых и средних городах Кемеровской области:</w:t>
      </w:r>
    </w:p>
    <w:p w:rsidR="000D63A2" w:rsidRPr="003869DE" w:rsidRDefault="000D63A2" w:rsidP="00A20706"/>
    <w:p w:rsidR="000D63A2" w:rsidRPr="003869DE" w:rsidRDefault="000D63A2" w:rsidP="00A20706">
      <w:r w:rsidRPr="003869DE">
        <w:t>(единиц)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18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9)увеличение количества выставочных проектов, осуществляемых в Крапивинском районе в партнерстве с музеями Кемеровской области и федеральными музеями: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 по отношению к 2012 году)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5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10)увеличение доли детей, привлекаемых к участию в творческих мероприятиях, в общем числе детей:</w:t>
      </w:r>
    </w:p>
    <w:p w:rsidR="000D63A2" w:rsidRPr="003869DE" w:rsidRDefault="000D63A2" w:rsidP="00A20706"/>
    <w:p w:rsidR="000D63A2" w:rsidRPr="003869DE" w:rsidRDefault="000D63A2" w:rsidP="00A20706">
      <w:r w:rsidRPr="003869DE">
        <w:t>(человек)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6"/>
        <w:gridCol w:w="1366"/>
        <w:gridCol w:w="1366"/>
        <w:gridCol w:w="1366"/>
        <w:gridCol w:w="1172"/>
      </w:tblGrid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2012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5,6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6,8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8,0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11) увеличение количества предоставляемых учреждениями культуры дополнительных услуг (по сравнению с предыдущим годом):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7"/>
        <w:gridCol w:w="1767"/>
        <w:gridCol w:w="1767"/>
        <w:gridCol w:w="2053"/>
        <w:gridCol w:w="2216"/>
      </w:tblGrid>
      <w:tr w:rsidR="000D63A2" w:rsidRPr="003869DE">
        <w:tc>
          <w:tcPr>
            <w:tcW w:w="1695" w:type="dxa"/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695" w:type="dxa"/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695" w:type="dxa"/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969" w:type="dxa"/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2126" w:type="dxa"/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rPr>
          <w:trHeight w:val="254"/>
        </w:trPr>
        <w:tc>
          <w:tcPr>
            <w:tcW w:w="1695" w:type="dxa"/>
          </w:tcPr>
          <w:p w:rsidR="000D63A2" w:rsidRPr="003869DE" w:rsidRDefault="000D63A2" w:rsidP="00A20706">
            <w:pPr>
              <w:pStyle w:val="Table"/>
            </w:pPr>
            <w:r w:rsidRPr="003869DE">
              <w:t>5,6</w:t>
            </w:r>
          </w:p>
        </w:tc>
        <w:tc>
          <w:tcPr>
            <w:tcW w:w="1695" w:type="dxa"/>
          </w:tcPr>
          <w:p w:rsidR="000D63A2" w:rsidRPr="003869DE" w:rsidRDefault="000D63A2" w:rsidP="00A20706">
            <w:pPr>
              <w:pStyle w:val="Table"/>
            </w:pPr>
            <w:r w:rsidRPr="003869DE">
              <w:t>5,8</w:t>
            </w:r>
          </w:p>
        </w:tc>
        <w:tc>
          <w:tcPr>
            <w:tcW w:w="1695" w:type="dxa"/>
          </w:tcPr>
          <w:p w:rsidR="000D63A2" w:rsidRPr="003869DE" w:rsidRDefault="000D63A2" w:rsidP="00A20706">
            <w:pPr>
              <w:pStyle w:val="Table"/>
            </w:pPr>
            <w:r w:rsidRPr="003869DE">
              <w:t>6</w:t>
            </w:r>
          </w:p>
        </w:tc>
        <w:tc>
          <w:tcPr>
            <w:tcW w:w="1969" w:type="dxa"/>
          </w:tcPr>
          <w:p w:rsidR="000D63A2" w:rsidRPr="003869DE" w:rsidRDefault="000D63A2" w:rsidP="00A20706">
            <w:pPr>
              <w:pStyle w:val="Table"/>
            </w:pPr>
            <w:r w:rsidRPr="003869DE">
              <w:t>6</w:t>
            </w:r>
          </w:p>
        </w:tc>
        <w:tc>
          <w:tcPr>
            <w:tcW w:w="2126" w:type="dxa"/>
          </w:tcPr>
          <w:p w:rsidR="000D63A2" w:rsidRPr="003869DE" w:rsidRDefault="000D63A2" w:rsidP="00A20706">
            <w:pPr>
              <w:pStyle w:val="Table"/>
            </w:pPr>
            <w:r w:rsidRPr="003869DE">
              <w:t>6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2. Мерами, обеспечивающими достижение целевых показателей (индикаторов) развития сферы культуры, являются:</w:t>
      </w:r>
    </w:p>
    <w:p w:rsidR="000D63A2" w:rsidRPr="003869DE" w:rsidRDefault="000D63A2" w:rsidP="00A20706">
      <w:r w:rsidRPr="003869DE"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услуг.</w:t>
      </w:r>
    </w:p>
    <w:p w:rsidR="000D63A2" w:rsidRPr="003869DE" w:rsidRDefault="000D63A2" w:rsidP="00A20706">
      <w:r w:rsidRPr="003869DE"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регионе в соответствии с Указом Президента Российской Федерации от 07.05.2012 г. №597 «О мероприятиях по реализации государственной социальной политики».</w:t>
      </w:r>
    </w:p>
    <w:p w:rsidR="000D63A2" w:rsidRPr="003869DE" w:rsidRDefault="000D63A2" w:rsidP="00A20706">
      <w:r w:rsidRPr="003869DE"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0D63A2" w:rsidRPr="003869DE" w:rsidRDefault="000D63A2" w:rsidP="00A20706">
      <w:r w:rsidRPr="003869DE">
        <w:t>4) реорганизация неэффективных учреждений культуры.</w:t>
      </w:r>
    </w:p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IV. Мероприятия по совершенствованию оплаты труда работников учреждений культуры</w:t>
      </w:r>
    </w:p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</w:p>
    <w:p w:rsidR="000D63A2" w:rsidRPr="003869DE" w:rsidRDefault="000D63A2" w:rsidP="00A20706">
      <w:r w:rsidRPr="003869DE">
        <w:t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2013-2015 годы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0D63A2" w:rsidRPr="003869DE" w:rsidRDefault="000D63A2" w:rsidP="00A20706">
      <w:r w:rsidRPr="003869DE"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0D63A2" w:rsidRPr="003869DE" w:rsidRDefault="000D63A2" w:rsidP="00A20706">
      <w:r w:rsidRPr="003869DE"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г.№597 «О мероприятиях по реализации государственной социальной политики», и средней заработной платы в Крапивинском районе:</w:t>
      </w:r>
    </w:p>
    <w:p w:rsidR="000D63A2" w:rsidRPr="003869DE" w:rsidRDefault="000D63A2" w:rsidP="00A20706"/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78"/>
        <w:gridCol w:w="1578"/>
        <w:gridCol w:w="1327"/>
        <w:gridCol w:w="1313"/>
        <w:gridCol w:w="1564"/>
        <w:gridCol w:w="2010"/>
      </w:tblGrid>
      <w:tr w:rsidR="000D63A2" w:rsidRPr="003869DE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90,4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95,0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98,0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100,0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r w:rsidRPr="003869DE">
        <w:t>2) численность работников учреждений культуры Крапивинского района:</w:t>
      </w:r>
    </w:p>
    <w:p w:rsidR="000D63A2" w:rsidRPr="003869DE" w:rsidRDefault="000D63A2" w:rsidP="00A20706">
      <w:r w:rsidRPr="003869DE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1609"/>
        <w:gridCol w:w="1593"/>
        <w:gridCol w:w="1876"/>
        <w:gridCol w:w="2392"/>
      </w:tblGrid>
      <w:tr w:rsidR="000D63A2" w:rsidRPr="003869DE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0"/>
            </w:pPr>
            <w:r w:rsidRPr="003869DE">
              <w:t>2018 год</w:t>
            </w:r>
          </w:p>
        </w:tc>
      </w:tr>
      <w:tr w:rsidR="000D63A2" w:rsidRPr="003869DE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V. Основные мероприятия, направленные на повышение эффективности и качества предоставляемых государственных услуг в сфере культуры, связанные с переходом на эффективный контракт</w:t>
      </w:r>
    </w:p>
    <w:p w:rsidR="000D63A2" w:rsidRPr="003869DE" w:rsidRDefault="000D63A2" w:rsidP="00A20706"/>
    <w:tbl>
      <w:tblPr>
        <w:tblW w:w="499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"/>
        <w:gridCol w:w="302"/>
        <w:gridCol w:w="4020"/>
        <w:gridCol w:w="21"/>
        <w:gridCol w:w="2276"/>
        <w:gridCol w:w="1810"/>
        <w:gridCol w:w="994"/>
      </w:tblGrid>
      <w:tr w:rsidR="000D63A2" w:rsidRPr="003869DE">
        <w:trPr>
          <w:trHeight w:val="70"/>
          <w:tblHeader/>
        </w:trPr>
        <w:tc>
          <w:tcPr>
            <w:tcW w:w="157" w:type="pct"/>
            <w:gridSpan w:val="2"/>
            <w:shd w:val="clear" w:color="auto" w:fill="FFFFFF"/>
            <w:noWrap/>
            <w:vAlign w:val="center"/>
          </w:tcPr>
          <w:p w:rsidR="000D63A2" w:rsidRPr="003869DE" w:rsidRDefault="000D63A2" w:rsidP="004929DF">
            <w:pPr>
              <w:pStyle w:val="Table0"/>
            </w:pPr>
            <w:r w:rsidRPr="003869DE">
              <w:t>№п/п</w:t>
            </w:r>
          </w:p>
        </w:tc>
        <w:tc>
          <w:tcPr>
            <w:tcW w:w="2133" w:type="pct"/>
            <w:shd w:val="clear" w:color="auto" w:fill="FFFFFF"/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Перечень мероприятий</w:t>
            </w:r>
          </w:p>
        </w:tc>
        <w:tc>
          <w:tcPr>
            <w:tcW w:w="1219" w:type="pct"/>
            <w:gridSpan w:val="2"/>
            <w:shd w:val="clear" w:color="auto" w:fill="FFFFFF"/>
            <w:noWrap/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 xml:space="preserve">Результат </w:t>
            </w:r>
          </w:p>
        </w:tc>
        <w:tc>
          <w:tcPr>
            <w:tcW w:w="961" w:type="pct"/>
            <w:shd w:val="clear" w:color="auto" w:fill="FFFFFF"/>
            <w:noWrap/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Ответственный исполнитель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Сроки исполнения</w:t>
            </w:r>
          </w:p>
        </w:tc>
      </w:tr>
      <w:tr w:rsidR="000D63A2" w:rsidRPr="003869DE">
        <w:trPr>
          <w:trHeight w:val="261"/>
          <w:tblHeader/>
        </w:trPr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</w:t>
            </w:r>
          </w:p>
        </w:tc>
        <w:tc>
          <w:tcPr>
            <w:tcW w:w="2133" w:type="pct"/>
            <w:shd w:val="clear" w:color="auto" w:fill="FFFFFF"/>
          </w:tcPr>
          <w:p w:rsidR="000D63A2" w:rsidRPr="003869DE" w:rsidRDefault="000D63A2" w:rsidP="00A20706">
            <w:pPr>
              <w:pStyle w:val="Table"/>
            </w:pPr>
            <w:r w:rsidRPr="003869DE">
              <w:t>2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3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4</w:t>
            </w:r>
          </w:p>
        </w:tc>
        <w:tc>
          <w:tcPr>
            <w:tcW w:w="527" w:type="pct"/>
            <w:shd w:val="clear" w:color="auto" w:fill="FFFFFF"/>
          </w:tcPr>
          <w:p w:rsidR="000D63A2" w:rsidRPr="003869DE" w:rsidRDefault="000D63A2" w:rsidP="00A20706">
            <w:pPr>
              <w:pStyle w:val="Table"/>
            </w:pPr>
            <w:r w:rsidRPr="003869DE">
              <w:t>5</w:t>
            </w:r>
          </w:p>
        </w:tc>
      </w:tr>
      <w:tr w:rsidR="000D63A2" w:rsidRPr="003869DE">
        <w:trPr>
          <w:trHeight w:val="142"/>
        </w:trPr>
        <w:tc>
          <w:tcPr>
            <w:tcW w:w="5000" w:type="pct"/>
            <w:gridSpan w:val="7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Совершенствование системы оплаты труда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Разработка (изменение) показателей эффективности деятельности муниципальных учреждений культуры администрации Крапивинского муниципального района и их руководителей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Гизатулина Ю.И.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Внедрение систем нормирования труда в муниципальных учреждениях культуры администрации Крапивинского муниципального района с учетом типовых (межотраслевых) норм труда, методических рекомендаций по разработке систем нормирования труда в государственных (муниципальных) учреждениях, утвержденных приказом Министерства труда России Федерации от 30.09.2013 № 504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Баштанова А.Н.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2015-2018 годы</w:t>
            </w:r>
          </w:p>
        </w:tc>
      </w:tr>
      <w:tr w:rsidR="000D63A2" w:rsidRPr="003869DE">
        <w:trPr>
          <w:trHeight w:val="2715"/>
        </w:trPr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3.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Внесение изменений в положения об оплате труда и коллективные договоры муниципальных учреждений культуры администрации Крапивинского муниципального района в части совершенствования системы оплаты труда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Локальные нормативные акты муниципальных учреждений культуры администрации Крапивинского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 по мере необходимости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4.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анализа и мониторинга расходов на содержание и функционирование муниципальных учреждений культуры администрации Крапивинского муниципального района в целях возможного привлечения средств на повышение заработной платы за счет сокращения неэффективных расходов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Доклад управления культуры администрации Крапивинского муниципального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Баштанова А.Н.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trHeight w:val="2873"/>
        </w:trPr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5.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Привлечение средств от предпринимательской и иной приносящей доход деятельности на повышение заработной платы работников муниципальных учреждений культуры администрации Крапивинского муниципального района, 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 предоставляемых учреждениями услугах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Доклад управления культуры администрации Крапивинского муниципального района 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trHeight w:val="358"/>
        </w:trPr>
        <w:tc>
          <w:tcPr>
            <w:tcW w:w="5000" w:type="pct"/>
            <w:gridSpan w:val="7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Контроль за выполнением в полном объеме мер по созданию прозрачного механизма оплаты труда руководителей муниципальных учреждений культуры администрации Крапивинского муниципального района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6.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Заключение дополнительных соглашений к трудовым договорам с руководителями муниципальных учреждений культуры администрации Крапивинского муниципального района (трудовых договоров с вновь назначаемыми руководителями) по типовой форме, утвержденной постановлением Правительства Росси</w:t>
            </w:r>
            <w:r>
              <w:t>йской Федерации от 12.04.2013 №</w:t>
            </w:r>
            <w:r w:rsidRPr="003869DE">
              <w:t>329 «О типовой форме трудового договора с руководителями государственных (муниципальных) учреждений культуры»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100% заключенных дополнительных соглашений (трудовых договоров) с руководителями муниципальных учреждений культуры администрации Крапивинского муниципального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По мере необходимости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7.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Предоставление руководителями муниципальных учреждений культуры администрации Крапивинского муниципального района сведений о доходах, об имуществе и обязательствах имущественного характера, его супруги (супруга) и несовершеннолетних детей, а также гражданами, претендующими на занятие соответствующих должностей, размещение указанных сведений в информационно-коммуникационной сети «Интернет»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100% предоставления и размещения в информационно-коммуникационной сети «Интернет» сведений о доходах об имуществе и обязательствах имущественного характера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Мордова Д.А.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8.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проверок достоверности и полноты сведений о доходах, об имуществе и обязательствах имущественного характера руководителя муниципального учреждения культуры администрации Крапивинского муниципального района,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Акты проведенных проверок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c>
          <w:tcPr>
            <w:tcW w:w="160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9.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Соблюдение установленных соотношений средней заработной платы руководителей муниципальных учреждений культуры администрации Крапивинского муниципального района и средней заработной платы основных категорий работников муниципальных учреждений культуры администрации Крапивинского муниципального района в кратности от 1 до 3 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Муниципальные правовые акты. Поддержание установленного соотношения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c>
          <w:tcPr>
            <w:tcW w:w="5000" w:type="pct"/>
            <w:gridSpan w:val="7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Развитие кадрового потенциала работников муниципальных учреждений 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культуры администрации Крапивинского муниципального района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10.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Внедрение показателей эффективности деятельности руководителей и работников муниципальных учреждений культуры администрации Крапивинского муниципального района, заключение новых трудовых договоров и дополнительных соглашений к действующим трудовым договорам с руководителями и работниками муниципальных учреждений культуры администрации Крапивинского муниципального района в соответствии с типовой формой трудового договора с руководителями государственных (муниципальных) учреждений, утвержденной постановлением Правительства Российской Федерации от 12.04.2013 № 329, и примерной формой трудового договора с работником государственного (муниципального) учреждения, утвержденной распоряжением Правительства Российской Федерации от 26.11.2012 № 2190-р  («эффективный контракт»)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Трудовые договоры с руководителями и работниками муниципальных учреждений культуры Крапивинского муниципального района Дополнительные соглашения к трудовым договорам с руководителями и работниками муниципальных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учреждений культуры администрации Крапивинского муниципального района.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 xml:space="preserve">Локальные нормативные акты 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11.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Проведение мероприятий по повышению квалификации и переподготовки работников муниципальных учреждений культуры администрации Крапивинского муниципального района с целью обеспечения соответствия работников современным квалификационным требованиям 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Доклад управления культуры администрации Крапивинского муниципального района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13.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Разработка основных положений о порядке проведения аттестации работников муниципальных учреждений культуры администрации Крапивинского муниципального района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Четвертый квартал 2014 года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14.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аттестации работников муниципальных учреждений культуры администрации Крапивинского муниципального района с последующим их переводом на эффективный контракт в соответствии с рекомендациями, утвержденными приказом Министерства труда Российской Федерации от 26.04.2013 № 167н «Об утверждении рекомендаций по оформлению трудовых отношений с работниками государственного (муниципального) учреждения», при введении в 2014 – 2015 годах эффективного контракта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Акты заседаний аттестационных комиссий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Плетнева О.П.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15.</w:t>
            </w:r>
          </w:p>
        </w:tc>
        <w:tc>
          <w:tcPr>
            <w:tcW w:w="2144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администрации Крапивинского муниципального района с учетом предельной доли расходов на оплату их труда в фонде оплаты труда учреждения не более 40%.Обеспечение соотношений средней заработной платы основного и вспомогательного персонала муниципальных учреждений культуры администрации Крапивинского муниципального района до 1 : 0,7 – 0,5 с учетом типа учреждения</w:t>
            </w:r>
          </w:p>
        </w:tc>
        <w:tc>
          <w:tcPr>
            <w:tcW w:w="1208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Поддержание установленного уровня Доклад управления культуры администрации Крапивинского муниципального района 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Баштанова А.Н.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3869DE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5000" w:type="pct"/>
            <w:gridSpan w:val="6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Мониторинг достижения целевых показателей средней заработной платы работников сферы культуры администрации Крапивинского муниципального района, определенных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16.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Планирование дополнительных расходов бюджетов всех уровней на повышение оплаты труда работников муниципальных учреждений культуры администрации Крапивинского муниципального района в соответствии с Указом Президента Российской Федерации от 07.05.2012 № 597 «О мероприятиях по реализации государственной социальной политики»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Нормативные правовые акты 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2014-2018 годы</w:t>
            </w:r>
          </w:p>
        </w:tc>
      </w:tr>
      <w:tr w:rsidR="000D63A2" w:rsidRPr="003869DE">
        <w:trPr>
          <w:gridBefore w:val="1"/>
          <w:trHeight w:val="3043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17.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Обеспечение представления в Федеральную службу государственной статистики форм федерального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07.05.2012 № 597 «О мероприятиях по реализации государственной социальной политики»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Представление в Федеральную службу государственной статистики форм федерального статистического наблюдения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Баштанова А.Н.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Ежеквар-тально </w:t>
            </w:r>
          </w:p>
        </w:tc>
      </w:tr>
      <w:tr w:rsidR="000D63A2" w:rsidRPr="003869DE">
        <w:trPr>
          <w:gridBefore w:val="1"/>
          <w:trHeight w:val="2232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18.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Разъяснительная работа с участием профсоюзных организаций о мероприятиях, реализуемых в рамках региональных «дорожных карт», в том числе по повышению оплаты труда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семинаров, совещаний, публикации в средствах массовой информации и информационно-коммуникационной сети «Интернет»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5000" w:type="pct"/>
            <w:gridSpan w:val="6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Независимая система оценки качества работы муниципальных учреждений культуры администрации Крапивинского муниципального района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19.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Создание и обеспечение деятельности независимой системы оценки качества работы муниципальных учреждений культуры администрации Крапивинского муниципального района в соответствии с правилами формирования независимой системы оценки качества работы организаций, оказывающих социальные услуги, утвержденными постановлением Правительства Российской Федерации от 30.03.2013 № 286, и 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утвержденными приказом Министерства культуры Российской Федерации от 30.09.2013 № 1505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Нормативный правовой акт управления культуры администрации Крапивинского муниципального района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20.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Обеспечение координации работы по реализации в Крапивинском районе независимой системы оценки качества работы муниципальных учреждений культуры администрации Крапивинского муниципального района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21.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Привлечение социально-ориентированных некоммерческих организаций к проведению независимой оценки качества работы муниципальных учреждений культуры администрации Крапивинского муниципального района и деятельности общественных советов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Экспертные заключения некоммерческих организаций по оценке качества работы муниципальных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 xml:space="preserve">учреждений культуры администрации Крапивинского района 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22.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Обеспечение открытости и доступности информации о деятельности муниципальных учреждений культуры администрации Крапивинского муниципального района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3869DE">
            <w:pPr>
              <w:pStyle w:val="Table"/>
            </w:pPr>
            <w:r w:rsidRPr="003869DE">
              <w:t xml:space="preserve">Размещение на официальном сайте www\bus.gov.ru и официальных сайтах муниципальных учреждений культуры администрации Крапивинского муниципального района сведений, установленных </w:t>
            </w:r>
            <w:hyperlink r:id="rId7" w:history="1">
              <w:r w:rsidRPr="003869DE">
                <w:rPr>
                  <w:rStyle w:val="Hyperlink"/>
                  <w:color w:val="auto"/>
                </w:rPr>
                <w:t>Приказом</w:t>
              </w:r>
            </w:hyperlink>
            <w:r w:rsidRPr="003869DE">
              <w:t xml:space="preserve"> Минфина России от 21.07.2011 №86н, а также дополнительной достоверной информации о деятельности муниципальных учреждений культуры администрации Крапивинского муниципального района в соответствии с перечнем, установленным органами местного самоуправления муниципальных учреждений культуры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Максимова Л.В.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Мордова Д.А.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23.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мониторинга работы муниципальных учреждений культуры администрации Крапивинского муниципального района проведение независимой оценки качества их работы,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Размещение на официальном сайте в информационно-коммуникационной сети «Интернет» результатов независимой оценки качества работы муниципальных учреждений культуры администрации Крапивинского муниципального района, мониторингов и рейтингов их деятельности, рекомендаций по улучшению качества работы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Головина И.А.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Мордова Д.А.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24.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«Интернет», о функционировании независимой оценки качества муниципальных учреждений культуры администрации Крапивинского муниципального района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Информирование общественности и потребителей услуг муниципальных учреждений культуры администрации Крапивинского муниципального района о функционировании независимой системы оценки качества работы муниципальных учреждений культуры администрации Крапивинского муниципального района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Мордова Д.А.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Ежегодно 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</w:p>
        </w:tc>
        <w:tc>
          <w:tcPr>
            <w:tcW w:w="4840" w:type="pct"/>
            <w:gridSpan w:val="5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Сопровождение «дорожной карты»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25.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Организация управлением культуры администрации Крапивинского муниципального района разработки (корректировки) планов мероприятий («дорожной карты») по повышению эффективности и качества услуг в сфере культуры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Муниципальные правовые акты</w:t>
            </w: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Ежегодно по мере необходимости</w:t>
            </w:r>
          </w:p>
        </w:tc>
      </w:tr>
      <w:tr w:rsidR="000D63A2" w:rsidRPr="003869DE">
        <w:trPr>
          <w:gridBefore w:val="1"/>
        </w:trPr>
        <w:tc>
          <w:tcPr>
            <w:tcW w:w="160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26.</w:t>
            </w:r>
          </w:p>
        </w:tc>
        <w:tc>
          <w:tcPr>
            <w:tcW w:w="2133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 xml:space="preserve">Разработка и утверждение муниципальными учреждениями культуры администрации Крапивинского муниципального района планов мероприятий по повышению эффективности деятельности учреждений в части муниципальных услуг на основе целевых показателей деятельности учреждений, совершенствование системы оплаты труда, включая мероприятия по повышению оплаты труда соответствующих категорий работников (по согласованию с департаментом культуры и национальной политики Кемеровской области и органами местного самоуправления Крапивинского муниципального района) </w:t>
            </w:r>
          </w:p>
        </w:tc>
        <w:tc>
          <w:tcPr>
            <w:tcW w:w="1219" w:type="pct"/>
            <w:gridSpan w:val="2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Локальные нормативные акты муниципальных учреждений культуры Крапивинского района</w:t>
            </w:r>
          </w:p>
          <w:p w:rsidR="000D63A2" w:rsidRPr="003869DE" w:rsidRDefault="000D63A2" w:rsidP="00A20706">
            <w:pPr>
              <w:pStyle w:val="Table"/>
            </w:pPr>
          </w:p>
        </w:tc>
        <w:tc>
          <w:tcPr>
            <w:tcW w:w="961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Никитина Н.Н.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Шестаков В.А.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Толстогузова Л.Н.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Иванова Е.Н.</w:t>
            </w:r>
          </w:p>
          <w:p w:rsidR="000D63A2" w:rsidRPr="003869DE" w:rsidRDefault="000D63A2" w:rsidP="00A20706">
            <w:pPr>
              <w:pStyle w:val="Table"/>
            </w:pPr>
            <w:r w:rsidRPr="003869DE">
              <w:t>Головина И.А</w:t>
            </w:r>
          </w:p>
        </w:tc>
        <w:tc>
          <w:tcPr>
            <w:tcW w:w="527" w:type="pct"/>
            <w:shd w:val="clear" w:color="auto" w:fill="FFFFFF"/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2014 год</w:t>
            </w:r>
          </w:p>
        </w:tc>
      </w:tr>
    </w:tbl>
    <w:p w:rsidR="000D63A2" w:rsidRPr="003869DE" w:rsidRDefault="000D63A2" w:rsidP="00A20706"/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Приложение</w:t>
      </w:r>
    </w:p>
    <w:p w:rsidR="000D63A2" w:rsidRPr="003869DE" w:rsidRDefault="000D63A2" w:rsidP="00A20706">
      <w:pPr>
        <w:jc w:val="right"/>
        <w:rPr>
          <w:b/>
          <w:bCs/>
          <w:kern w:val="28"/>
          <w:sz w:val="32"/>
          <w:szCs w:val="32"/>
        </w:rPr>
      </w:pPr>
      <w:r w:rsidRPr="003869DE">
        <w:rPr>
          <w:b/>
          <w:bCs/>
          <w:kern w:val="28"/>
          <w:sz w:val="32"/>
          <w:szCs w:val="32"/>
        </w:rPr>
        <w:t>к плану мероприятий ("дорожной карте") " Изменения в отраслях социальной сферы Крапивинского муниципального района, направленные на повышение эффективности сферы культуры</w:t>
      </w:r>
    </w:p>
    <w:p w:rsidR="000D63A2" w:rsidRPr="003869DE" w:rsidRDefault="000D63A2" w:rsidP="00A20706"/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  <w:r w:rsidRPr="003869DE">
        <w:rPr>
          <w:b/>
          <w:bCs/>
          <w:sz w:val="30"/>
          <w:szCs w:val="30"/>
        </w:rPr>
        <w:t>Показатели сферы культуры (работники учреждений культуры) Управление культуры администрации Крапивинского муниципального района</w:t>
      </w:r>
    </w:p>
    <w:p w:rsidR="000D63A2" w:rsidRPr="003869DE" w:rsidRDefault="000D63A2" w:rsidP="00A20706">
      <w:pPr>
        <w:jc w:val="center"/>
        <w:rPr>
          <w:b/>
          <w:bCs/>
          <w:sz w:val="30"/>
          <w:szCs w:val="30"/>
        </w:rPr>
      </w:pPr>
    </w:p>
    <w:tbl>
      <w:tblPr>
        <w:tblW w:w="5000" w:type="pct"/>
        <w:tblInd w:w="2" w:type="dxa"/>
        <w:tblLayout w:type="fixed"/>
        <w:tblLook w:val="00A0"/>
      </w:tblPr>
      <w:tblGrid>
        <w:gridCol w:w="526"/>
        <w:gridCol w:w="1538"/>
        <w:gridCol w:w="1117"/>
        <w:gridCol w:w="918"/>
        <w:gridCol w:w="875"/>
        <w:gridCol w:w="1005"/>
        <w:gridCol w:w="1022"/>
        <w:gridCol w:w="925"/>
        <w:gridCol w:w="732"/>
        <w:gridCol w:w="912"/>
      </w:tblGrid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0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Наименование показателей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2013 г. факт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2014 г.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2015 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2016 г.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2017 г.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2018 г.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2014 г.- 2016 г.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0"/>
            </w:pPr>
            <w:r w:rsidRPr="003869DE">
              <w:t>2014г.- 2018 г.</w:t>
            </w:r>
          </w:p>
        </w:tc>
      </w:tr>
      <w:tr w:rsidR="000D63A2" w:rsidRPr="003869DE">
        <w:trPr>
          <w:trHeight w:val="12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4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Число получателей услуг муниципальной территории, чел.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24 045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6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Среднесписочная численность работников учреждений культуры (без совместителей): человек</w:t>
            </w:r>
          </w:p>
        </w:tc>
        <w:tc>
          <w:tcPr>
            <w:tcW w:w="11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250</w:t>
            </w:r>
          </w:p>
        </w:tc>
        <w:tc>
          <w:tcPr>
            <w:tcW w:w="91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8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00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102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9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209</w:t>
            </w:r>
          </w:p>
        </w:tc>
        <w:tc>
          <w:tcPr>
            <w:tcW w:w="73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Численность населения муниципальной территории, чел.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24 045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23 800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23 600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23 400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23 200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11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5</w:t>
            </w:r>
          </w:p>
        </w:tc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63A2" w:rsidRPr="003869DE" w:rsidRDefault="000D63A2" w:rsidP="004929DF">
            <w:pPr>
              <w:pStyle w:val="Table"/>
            </w:pPr>
            <w:r w:rsidRPr="003869DE">
              <w:t>Соотношение средней заработной платы работников учреждений культуры и средней заработной платы в муниципальной территории: </w:t>
            </w:r>
          </w:p>
        </w:tc>
      </w:tr>
      <w:tr w:rsidR="000D63A2" w:rsidRPr="003869DE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по Плану мероприятий ("дорожной карте") "Изменения в отраслях социальной сферы, направленные на повышение эффективности сферы культуры" муниципальной территории,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По работникам учреждений культуры Кемеровской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56,6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64,9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82,4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5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Средняя заработная плата работников по муниципальной территории,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15900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17230</w:t>
            </w:r>
          </w:p>
        </w:tc>
        <w:tc>
          <w:tcPr>
            <w:tcW w:w="8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18 800,0</w:t>
            </w:r>
          </w:p>
        </w:tc>
        <w:tc>
          <w:tcPr>
            <w:tcW w:w="100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20 650,0</w:t>
            </w:r>
          </w:p>
        </w:tc>
        <w:tc>
          <w:tcPr>
            <w:tcW w:w="102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22 510,0</w:t>
            </w:r>
          </w:p>
        </w:tc>
        <w:tc>
          <w:tcPr>
            <w:tcW w:w="9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24 700,0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Темп роста к предыдущему году,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108,4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109,1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109,0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Среднемесячная заработная плата работников учреждений культуры,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11144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15576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17860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20237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22510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24700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Темп роста к предыдущему году,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139,8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109,7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Размер начислений на фонд оплаты труда,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1,302</w:t>
            </w:r>
          </w:p>
        </w:tc>
      </w:tr>
      <w:tr w:rsidR="000D63A2" w:rsidRPr="003869DE">
        <w:trPr>
          <w:trHeight w:val="55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Фонд оплаты труда с начислениями муниципальной территории,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50,9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58,3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66,1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80,7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175,3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329,5</w:t>
            </w:r>
          </w:p>
        </w:tc>
      </w:tr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Прирост фонда оплаты труда с начислениями к 2013 г., млн.</w:t>
            </w:r>
            <w:r>
              <w:t xml:space="preserve"> </w:t>
            </w:r>
            <w:r w:rsidRPr="003869DE">
              <w:t xml:space="preserve">руб.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112,0</w:t>
            </w:r>
          </w:p>
        </w:tc>
      </w:tr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</w:tr>
      <w:tr w:rsidR="000D63A2" w:rsidRPr="003869DE">
        <w:trPr>
          <w:trHeight w:val="5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29,7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36,8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110,88</w:t>
            </w:r>
          </w:p>
        </w:tc>
      </w:tr>
      <w:tr w:rsidR="000D63A2" w:rsidRPr="003869DE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13,8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23,0</w:t>
            </w:r>
          </w:p>
        </w:tc>
      </w:tr>
      <w:tr w:rsidR="000D63A2" w:rsidRPr="003869DE">
        <w:trPr>
          <w:trHeight w:val="6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от реструктуризации сети,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</w:tr>
      <w:tr w:rsidR="000D63A2" w:rsidRPr="003869DE">
        <w:trPr>
          <w:trHeight w:val="7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4,60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13,8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23,00</w:t>
            </w:r>
          </w:p>
        </w:tc>
      </w:tr>
      <w:tr w:rsidR="000D63A2" w:rsidRPr="003869DE">
        <w:trPr>
          <w:trHeight w:val="5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от сокращения и оптимизации расходов на содержание учреждений, млн. рублей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</w:tr>
      <w:tr w:rsidR="000D63A2" w:rsidRPr="003869DE">
        <w:trPr>
          <w:trHeight w:val="3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за счет средств от приносящей доход деятельности,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1,12</w:t>
            </w:r>
          </w:p>
        </w:tc>
      </w:tr>
      <w:tr w:rsidR="000D63A2" w:rsidRPr="003869DE">
        <w:trPr>
          <w:trHeight w:val="7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22,6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37,2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44,8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112,0</w:t>
            </w:r>
          </w:p>
        </w:tc>
      </w:tr>
      <w:tr w:rsidR="000D63A2" w:rsidRPr="003869DE">
        <w:trPr>
          <w:trHeight w:val="9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62,16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31,08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20,35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15,33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12,37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30,80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3A2" w:rsidRPr="003869DE" w:rsidRDefault="000D63A2" w:rsidP="00A20706">
            <w:pPr>
              <w:pStyle w:val="Table"/>
            </w:pPr>
            <w:r w:rsidRPr="003869DE">
              <w:t>20,54</w:t>
            </w:r>
          </w:p>
        </w:tc>
      </w:tr>
      <w:tr w:rsidR="000D63A2" w:rsidRPr="003869DE">
        <w:trPr>
          <w:trHeight w:val="421"/>
        </w:trPr>
        <w:tc>
          <w:tcPr>
            <w:tcW w:w="95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A2" w:rsidRPr="003869DE" w:rsidRDefault="000D63A2" w:rsidP="00A20706">
            <w:pPr>
              <w:pStyle w:val="Table"/>
            </w:pPr>
            <w:r w:rsidRPr="003869DE">
              <w:t>Дополнительная информация</w:t>
            </w:r>
          </w:p>
        </w:tc>
      </w:tr>
      <w:tr w:rsidR="000D63A2" w:rsidRPr="003869DE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63A2" w:rsidRPr="003869DE" w:rsidRDefault="000D63A2" w:rsidP="00A20706">
            <w:pPr>
              <w:pStyle w:val="Table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Число реорганизованных и (или ликвидированных) учреждений культуры, (ед.)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A2" w:rsidRPr="003869DE" w:rsidRDefault="000D63A2" w:rsidP="00A20706">
            <w:pPr>
              <w:pStyle w:val="Table"/>
            </w:pPr>
            <w:r w:rsidRPr="003869DE">
              <w:t>0</w:t>
            </w:r>
          </w:p>
        </w:tc>
      </w:tr>
    </w:tbl>
    <w:p w:rsidR="000D63A2" w:rsidRPr="003869DE" w:rsidRDefault="000D63A2" w:rsidP="00A20706"/>
    <w:sectPr w:rsidR="000D63A2" w:rsidRPr="003869DE" w:rsidSect="00A2070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A2" w:rsidRDefault="000D63A2">
      <w:r>
        <w:separator/>
      </w:r>
    </w:p>
  </w:endnote>
  <w:endnote w:type="continuationSeparator" w:id="0">
    <w:p w:rsidR="000D63A2" w:rsidRDefault="000D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A2" w:rsidRDefault="000D63A2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A2" w:rsidRDefault="000D63A2">
      <w:r>
        <w:separator/>
      </w:r>
    </w:p>
  </w:footnote>
  <w:footnote w:type="continuationSeparator" w:id="0">
    <w:p w:rsidR="000D63A2" w:rsidRDefault="000D6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684F0E"/>
    <w:multiLevelType w:val="hybridMultilevel"/>
    <w:tmpl w:val="D83E783C"/>
    <w:lvl w:ilvl="0" w:tplc="6464B8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16C9"/>
    <w:rsid w:val="00033344"/>
    <w:rsid w:val="0005063B"/>
    <w:rsid w:val="00051A71"/>
    <w:rsid w:val="00064268"/>
    <w:rsid w:val="00065BDC"/>
    <w:rsid w:val="0008540A"/>
    <w:rsid w:val="000A4AAD"/>
    <w:rsid w:val="000A4AD0"/>
    <w:rsid w:val="000C4862"/>
    <w:rsid w:val="000D269E"/>
    <w:rsid w:val="000D63A2"/>
    <w:rsid w:val="000E0D28"/>
    <w:rsid w:val="000F41FE"/>
    <w:rsid w:val="00124415"/>
    <w:rsid w:val="00161AC2"/>
    <w:rsid w:val="00195723"/>
    <w:rsid w:val="001A17EC"/>
    <w:rsid w:val="001A622C"/>
    <w:rsid w:val="001A7C44"/>
    <w:rsid w:val="001D6EE2"/>
    <w:rsid w:val="001D74CE"/>
    <w:rsid w:val="00202417"/>
    <w:rsid w:val="00203149"/>
    <w:rsid w:val="002104B0"/>
    <w:rsid w:val="002104E2"/>
    <w:rsid w:val="00221234"/>
    <w:rsid w:val="00236FF7"/>
    <w:rsid w:val="002461B4"/>
    <w:rsid w:val="00256EE0"/>
    <w:rsid w:val="00270109"/>
    <w:rsid w:val="00275F34"/>
    <w:rsid w:val="0028126D"/>
    <w:rsid w:val="00282287"/>
    <w:rsid w:val="00291340"/>
    <w:rsid w:val="002A2800"/>
    <w:rsid w:val="002A6CC3"/>
    <w:rsid w:val="002B2E6F"/>
    <w:rsid w:val="002C0907"/>
    <w:rsid w:val="002C3156"/>
    <w:rsid w:val="002E2E7D"/>
    <w:rsid w:val="002E3DBB"/>
    <w:rsid w:val="00306CFB"/>
    <w:rsid w:val="00344922"/>
    <w:rsid w:val="003533DD"/>
    <w:rsid w:val="00360867"/>
    <w:rsid w:val="00367CC6"/>
    <w:rsid w:val="00370536"/>
    <w:rsid w:val="00377555"/>
    <w:rsid w:val="00380ABF"/>
    <w:rsid w:val="003869DE"/>
    <w:rsid w:val="00391213"/>
    <w:rsid w:val="00394FE9"/>
    <w:rsid w:val="003B7780"/>
    <w:rsid w:val="003D75D0"/>
    <w:rsid w:val="003E6783"/>
    <w:rsid w:val="00400762"/>
    <w:rsid w:val="00402109"/>
    <w:rsid w:val="004032C8"/>
    <w:rsid w:val="0041098B"/>
    <w:rsid w:val="004222E0"/>
    <w:rsid w:val="00432DF3"/>
    <w:rsid w:val="004350B0"/>
    <w:rsid w:val="00465319"/>
    <w:rsid w:val="0048443B"/>
    <w:rsid w:val="004929DF"/>
    <w:rsid w:val="004A2BF5"/>
    <w:rsid w:val="004B0B84"/>
    <w:rsid w:val="004B61C1"/>
    <w:rsid w:val="004B7646"/>
    <w:rsid w:val="004E1514"/>
    <w:rsid w:val="004E23F0"/>
    <w:rsid w:val="004E71AA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641AA"/>
    <w:rsid w:val="00574255"/>
    <w:rsid w:val="005B1629"/>
    <w:rsid w:val="005E0346"/>
    <w:rsid w:val="00603659"/>
    <w:rsid w:val="006120D9"/>
    <w:rsid w:val="0061365D"/>
    <w:rsid w:val="00614763"/>
    <w:rsid w:val="00615D43"/>
    <w:rsid w:val="0061632F"/>
    <w:rsid w:val="006214A2"/>
    <w:rsid w:val="0062309C"/>
    <w:rsid w:val="006265A6"/>
    <w:rsid w:val="006375F0"/>
    <w:rsid w:val="0066338B"/>
    <w:rsid w:val="00666253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E6A"/>
    <w:rsid w:val="007606C0"/>
    <w:rsid w:val="007668B3"/>
    <w:rsid w:val="00796097"/>
    <w:rsid w:val="007B1A09"/>
    <w:rsid w:val="007F7290"/>
    <w:rsid w:val="00805C31"/>
    <w:rsid w:val="008062B9"/>
    <w:rsid w:val="00811755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C2EC5"/>
    <w:rsid w:val="008D1DC4"/>
    <w:rsid w:val="008E673B"/>
    <w:rsid w:val="008F1CEB"/>
    <w:rsid w:val="008F1D1A"/>
    <w:rsid w:val="00933257"/>
    <w:rsid w:val="00933362"/>
    <w:rsid w:val="00936DD4"/>
    <w:rsid w:val="009436BA"/>
    <w:rsid w:val="00943BEC"/>
    <w:rsid w:val="00950212"/>
    <w:rsid w:val="00962DB7"/>
    <w:rsid w:val="00963DFA"/>
    <w:rsid w:val="0097294F"/>
    <w:rsid w:val="009B1360"/>
    <w:rsid w:val="009B1CC5"/>
    <w:rsid w:val="009B68DE"/>
    <w:rsid w:val="009C565F"/>
    <w:rsid w:val="009D1BEA"/>
    <w:rsid w:val="009E1430"/>
    <w:rsid w:val="009F2588"/>
    <w:rsid w:val="00A20706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9734A"/>
    <w:rsid w:val="00AA117C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733C"/>
    <w:rsid w:val="00B92326"/>
    <w:rsid w:val="00B92B66"/>
    <w:rsid w:val="00B96FF3"/>
    <w:rsid w:val="00BB51CB"/>
    <w:rsid w:val="00BC1E27"/>
    <w:rsid w:val="00BD7F0A"/>
    <w:rsid w:val="00BE44A0"/>
    <w:rsid w:val="00C03DA5"/>
    <w:rsid w:val="00C22812"/>
    <w:rsid w:val="00C267B2"/>
    <w:rsid w:val="00C27F74"/>
    <w:rsid w:val="00C40423"/>
    <w:rsid w:val="00C4307C"/>
    <w:rsid w:val="00C46092"/>
    <w:rsid w:val="00C55C95"/>
    <w:rsid w:val="00C56361"/>
    <w:rsid w:val="00C6391E"/>
    <w:rsid w:val="00C661C7"/>
    <w:rsid w:val="00C717A1"/>
    <w:rsid w:val="00C76DE9"/>
    <w:rsid w:val="00C80917"/>
    <w:rsid w:val="00C95D07"/>
    <w:rsid w:val="00CA640C"/>
    <w:rsid w:val="00CE42C7"/>
    <w:rsid w:val="00CF484A"/>
    <w:rsid w:val="00D02088"/>
    <w:rsid w:val="00D035FE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31B98"/>
    <w:rsid w:val="00E501DA"/>
    <w:rsid w:val="00E50F77"/>
    <w:rsid w:val="00E643FD"/>
    <w:rsid w:val="00E74594"/>
    <w:rsid w:val="00E83460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D0BF2"/>
    <w:rsid w:val="00FE1F33"/>
    <w:rsid w:val="00FE59B3"/>
    <w:rsid w:val="00FE5ADF"/>
    <w:rsid w:val="00FE5C7A"/>
    <w:rsid w:val="00FE742E"/>
    <w:rsid w:val="00F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4609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4609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4609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4609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4609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F4C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2070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2070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20706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C46092"/>
    <w:rPr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5F4C4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5F4C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F4C4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C47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F4C4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C4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C4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7"/>
    <w:rPr>
      <w:sz w:val="0"/>
      <w:szCs w:val="0"/>
    </w:rPr>
  </w:style>
  <w:style w:type="table" w:styleId="TableList3">
    <w:name w:val="Table List 3"/>
    <w:basedOn w:val="TableNormal"/>
    <w:uiPriority w:val="99"/>
    <w:rsid w:val="00BC1E27"/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C4609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4609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2070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4609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460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609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609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5F8091882FEFD67691AD502A8FF975A9D79516DB6792FD1AB193831K2l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18</Pages>
  <Words>3986</Words>
  <Characters>22724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2014-05-28T10:15:00Z</cp:lastPrinted>
  <dcterms:created xsi:type="dcterms:W3CDTF">2014-06-03T10:04:00Z</dcterms:created>
  <dcterms:modified xsi:type="dcterms:W3CDTF">2014-06-04T01:31:00Z</dcterms:modified>
</cp:coreProperties>
</file>