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0A" w:rsidRPr="00B76529" w:rsidRDefault="00F4730A" w:rsidP="00B76529">
      <w:pPr>
        <w:jc w:val="right"/>
        <w:rPr>
          <w:b/>
          <w:bCs/>
          <w:kern w:val="28"/>
          <w:sz w:val="32"/>
          <w:szCs w:val="32"/>
        </w:rPr>
      </w:pPr>
      <w:r w:rsidRPr="00B76529">
        <w:rPr>
          <w:b/>
          <w:bCs/>
          <w:kern w:val="28"/>
          <w:sz w:val="32"/>
          <w:szCs w:val="32"/>
        </w:rPr>
        <w:t>Приложение</w:t>
      </w:r>
    </w:p>
    <w:p w:rsidR="00F4730A" w:rsidRDefault="00F4730A" w:rsidP="00B76529">
      <w:pPr>
        <w:jc w:val="right"/>
        <w:rPr>
          <w:b/>
          <w:bCs/>
          <w:kern w:val="28"/>
          <w:sz w:val="32"/>
          <w:szCs w:val="32"/>
        </w:rPr>
      </w:pPr>
      <w:r w:rsidRPr="00B76529">
        <w:rPr>
          <w:b/>
          <w:bCs/>
          <w:kern w:val="28"/>
          <w:sz w:val="32"/>
          <w:szCs w:val="32"/>
        </w:rPr>
        <w:t xml:space="preserve">к постановлению </w:t>
      </w:r>
      <w:r>
        <w:rPr>
          <w:b/>
          <w:bCs/>
          <w:kern w:val="28"/>
          <w:sz w:val="32"/>
          <w:szCs w:val="32"/>
        </w:rPr>
        <w:t>администрации</w:t>
      </w:r>
    </w:p>
    <w:p w:rsidR="00F4730A" w:rsidRPr="00B76529" w:rsidRDefault="00F4730A" w:rsidP="00B76529">
      <w:pPr>
        <w:jc w:val="right"/>
        <w:rPr>
          <w:b/>
          <w:bCs/>
          <w:kern w:val="28"/>
          <w:sz w:val="32"/>
          <w:szCs w:val="32"/>
        </w:rPr>
      </w:pPr>
      <w:r w:rsidRPr="00B76529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  <w:bookmarkStart w:id="0" w:name="_GoBack"/>
      <w:bookmarkEnd w:id="0"/>
    </w:p>
    <w:p w:rsidR="00F4730A" w:rsidRPr="00B76529" w:rsidRDefault="00F4730A" w:rsidP="00B76529">
      <w:pPr>
        <w:jc w:val="right"/>
        <w:rPr>
          <w:b/>
          <w:bCs/>
          <w:kern w:val="28"/>
          <w:sz w:val="32"/>
          <w:szCs w:val="32"/>
        </w:rPr>
      </w:pPr>
      <w:r w:rsidRPr="00B76529">
        <w:rPr>
          <w:b/>
          <w:bCs/>
          <w:kern w:val="28"/>
          <w:sz w:val="32"/>
          <w:szCs w:val="32"/>
        </w:rPr>
        <w:t>от 30.05.2014 г. №696</w:t>
      </w:r>
    </w:p>
    <w:p w:rsidR="00F4730A" w:rsidRPr="0087008B" w:rsidRDefault="00F4730A" w:rsidP="0087008B"/>
    <w:p w:rsidR="00F4730A" w:rsidRPr="0087008B" w:rsidRDefault="00F4730A" w:rsidP="00B76529">
      <w:pPr>
        <w:jc w:val="center"/>
      </w:pPr>
      <w:r w:rsidRPr="00B76529">
        <w:rPr>
          <w:b/>
          <w:bCs/>
          <w:kern w:val="32"/>
          <w:sz w:val="32"/>
          <w:szCs w:val="32"/>
        </w:rPr>
        <w:t>«4. Ресурсное обеспечение Программы</w:t>
      </w:r>
    </w:p>
    <w:p w:rsidR="00F4730A" w:rsidRPr="0087008B" w:rsidRDefault="00F4730A" w:rsidP="0087008B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7"/>
        <w:gridCol w:w="13"/>
        <w:gridCol w:w="1839"/>
        <w:gridCol w:w="1222"/>
        <w:gridCol w:w="1158"/>
        <w:gridCol w:w="1171"/>
      </w:tblGrid>
      <w:tr w:rsidR="00F4730A" w:rsidRPr="0087008B">
        <w:trPr>
          <w:trHeight w:val="910"/>
        </w:trPr>
        <w:tc>
          <w:tcPr>
            <w:tcW w:w="4614" w:type="dxa"/>
            <w:gridSpan w:val="2"/>
          </w:tcPr>
          <w:p w:rsidR="00F4730A" w:rsidRPr="0087008B" w:rsidRDefault="00F4730A" w:rsidP="004007B9">
            <w:pPr>
              <w:pStyle w:val="Table0"/>
            </w:pPr>
            <w:r w:rsidRPr="0087008B">
              <w:t>Наименование</w:t>
            </w:r>
            <w:r>
              <w:t xml:space="preserve"> </w:t>
            </w:r>
            <w:r w:rsidRPr="0087008B">
              <w:t>муниципальной программы,</w:t>
            </w:r>
            <w:r>
              <w:t xml:space="preserve"> </w:t>
            </w:r>
            <w:r w:rsidRPr="0087008B">
              <w:t>подпрограммы, мероприятия</w:t>
            </w:r>
          </w:p>
        </w:tc>
        <w:tc>
          <w:tcPr>
            <w:tcW w:w="2015" w:type="dxa"/>
          </w:tcPr>
          <w:p w:rsidR="00F4730A" w:rsidRPr="0087008B" w:rsidRDefault="00F4730A" w:rsidP="004007B9">
            <w:pPr>
              <w:pStyle w:val="Table0"/>
            </w:pPr>
            <w:r w:rsidRPr="0087008B">
              <w:t>Источник</w:t>
            </w:r>
            <w:r>
              <w:t xml:space="preserve"> </w:t>
            </w:r>
            <w:r w:rsidRPr="0087008B">
              <w:t>финансирования</w:t>
            </w:r>
          </w:p>
        </w:tc>
        <w:tc>
          <w:tcPr>
            <w:tcW w:w="1330" w:type="dxa"/>
          </w:tcPr>
          <w:p w:rsidR="00F4730A" w:rsidRPr="00B76529" w:rsidRDefault="00F4730A" w:rsidP="00B76529">
            <w:pPr>
              <w:pStyle w:val="Table"/>
              <w:rPr>
                <w:b/>
                <w:bCs/>
              </w:rPr>
            </w:pPr>
            <w:r w:rsidRPr="00B76529">
              <w:rPr>
                <w:b/>
                <w:bCs/>
              </w:rPr>
              <w:t>2014 год</w:t>
            </w:r>
          </w:p>
        </w:tc>
        <w:tc>
          <w:tcPr>
            <w:tcW w:w="1260" w:type="dxa"/>
          </w:tcPr>
          <w:p w:rsidR="00F4730A" w:rsidRPr="00B76529" w:rsidRDefault="00F4730A" w:rsidP="00B76529">
            <w:pPr>
              <w:pStyle w:val="Table"/>
              <w:rPr>
                <w:b/>
                <w:bCs/>
              </w:rPr>
            </w:pPr>
            <w:r w:rsidRPr="00B76529">
              <w:rPr>
                <w:b/>
                <w:bCs/>
              </w:rPr>
              <w:t>2015 год</w:t>
            </w:r>
          </w:p>
        </w:tc>
        <w:tc>
          <w:tcPr>
            <w:tcW w:w="1274" w:type="dxa"/>
          </w:tcPr>
          <w:p w:rsidR="00F4730A" w:rsidRPr="00B76529" w:rsidRDefault="00F4730A" w:rsidP="00B76529">
            <w:pPr>
              <w:pStyle w:val="Table"/>
              <w:rPr>
                <w:b/>
                <w:bCs/>
              </w:rPr>
            </w:pPr>
            <w:r w:rsidRPr="00B76529">
              <w:rPr>
                <w:b/>
                <w:bCs/>
              </w:rPr>
              <w:t>2016 год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  <w:tblHeader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Всего по программе, в том числе: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407899,8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399500,9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400004,9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8555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8960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9408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247230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247283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247339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151999,8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143242,9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143242,9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Средства юридических и физических лиц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1. 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350611,8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341228,9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341228,9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213727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213727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213727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135384,8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126951,9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126801,9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7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1.1.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63313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63313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63313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2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1.2.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2199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2199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1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1.3.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118444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118444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118444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6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1.4. Обеспечение образовательной деятельности образовательных организаций по адаптированным общеобразовательным программам в общеобразовательных организациях, коррекционная школа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26433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26433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26433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2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1.5. 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790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790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82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1.6. Организация круглогодичного отдыха, оздоровления и занятости обучающихся</w:t>
            </w:r>
            <w:r>
              <w:t xml:space="preserve"> </w:t>
            </w:r>
            <w:r w:rsidRPr="0087008B">
              <w:t>Крапивинского муниципального района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1848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1848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2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1.7. Создание и функционирование комиссий по делам несовершеннолетних и защите их прав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289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1.8. Ежемесячная денежная выплата отдельным категориям граждан, воспитывающих детей в возрасте от 1,5 до 7 лет в соответствии с Законом Кемеровской области от 10 декабря 2007 года №162-ОЗ "О ежемесячной денежной выплате отдельным категориям граждан, воспитывающих детей в возрасте от 1,5 до 7 лет"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900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1.9.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50567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47483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47483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1.10. Совершенствование организации питания в рамках подпрограммы «Развитие дошкольного, общего образования и дополнительного образования детей»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A" w:rsidRPr="0087008B" w:rsidRDefault="00F4730A" w:rsidP="00B76529">
            <w:pPr>
              <w:pStyle w:val="Table"/>
            </w:pPr>
            <w:r w:rsidRPr="0087008B">
              <w:t>7000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1.11. Развитие дошкольного образования Крапивинского муниципального района на 2014-2016 годы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500,0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3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1.12.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24134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18589,1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18439,1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6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1.13.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аутсорсинг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19852,8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19852,8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19852,8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1.14. Обеспечение образовательной деятельности образовательных организаций по адаптированным общеобразовательным программам в общеобразовательных, коррекционная школа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3437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3437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3437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1.15. Предоставление государственных услуг по дополнительному образованию детей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26833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26529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26529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1.16. Обеспечение деятельности учреждений для диагностики детей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2522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2522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2522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1.17. Организация круглогодичного отдыха, оздоровления и занятости обучающихся</w:t>
            </w:r>
            <w:r>
              <w:t xml:space="preserve"> </w:t>
            </w:r>
            <w:r w:rsidRPr="0087008B">
              <w:t>Крапивинского муниципального района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550,0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550,0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550,0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1.18. Поддержка образовательных учреждений, талантливых педагогов и одаренных детей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200,0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2.</w:t>
            </w:r>
            <w:r w:rsidRPr="0087008B">
              <w:tab/>
              <w:t xml:space="preserve">Подпрограмма «Развитие профессионального образования»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14965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15241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15241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14965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15241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15241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2.1. Обеспечение деятельности</w:t>
            </w:r>
            <w:r>
              <w:t xml:space="preserve"> </w:t>
            </w:r>
            <w:r w:rsidRPr="0087008B">
              <w:t>подведомственных учреждений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13429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13705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13705</w:t>
            </w:r>
          </w:p>
        </w:tc>
      </w:tr>
      <w:tr w:rsidR="00F4730A" w:rsidRPr="0087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2.2. Обеспечение выполнения функций муниципальными органами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0A" w:rsidRPr="0087008B" w:rsidRDefault="00F4730A" w:rsidP="00B76529">
            <w:pPr>
              <w:pStyle w:val="Table"/>
            </w:pPr>
            <w:r w:rsidRPr="0087008B">
              <w:t>1536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1536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3.</w:t>
            </w:r>
            <w:r w:rsidRPr="0087008B">
              <w:tab/>
              <w:t xml:space="preserve">Подпрограмма «Социальные гарантии в системе образования»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42058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42516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43020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8555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8960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9408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33503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33556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33612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8555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8960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9408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3.2. 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1218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3.3. Адресная социальная поддержка участников образовательного процесса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933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3.4. 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626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626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626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3.5.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8645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8645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8645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3.6.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45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3.7.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24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3.8. 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403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3.9. Организация и осуществление деятельности по опеке и попечительству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900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3.10.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20818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20818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20818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4. Подпрограмма «Развитие физкультуры и спорта на территории Крапивинского муниципального района»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515,0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500,0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Средства юридических и физических лиц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Организация и проведение районных соревнований и участие в областных турнирах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250,0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Приобретение спортинвентаря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Средства юридических и физических лиц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5. Подпрограмма «Охрана труда»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700,0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700,0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Средства юридических и физических лиц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Аттестация рабочих мест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870,0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770,0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0 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Средства юридических и физических лиц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100,0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100,0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 xml:space="preserve">100,0 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Обучение</w:t>
            </w:r>
            <w:r>
              <w:t xml:space="preserve"> </w:t>
            </w:r>
            <w:r w:rsidRPr="0087008B">
              <w:t>по</w:t>
            </w:r>
            <w:r>
              <w:t xml:space="preserve"> </w:t>
            </w:r>
            <w:r w:rsidRPr="0087008B">
              <w:t>программе</w:t>
            </w:r>
            <w:r>
              <w:t xml:space="preserve"> </w:t>
            </w:r>
            <w:r w:rsidRPr="0087008B">
              <w:t>комплексная безопасность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150,0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Приобретение средств индивидуальной защиты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50,0</w:t>
            </w:r>
          </w:p>
        </w:tc>
      </w:tr>
      <w:tr w:rsidR="00F4730A" w:rsidRPr="0087008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Оплата за периодические медицинские осмотры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0A" w:rsidRPr="0087008B" w:rsidRDefault="00F4730A" w:rsidP="00B76529">
            <w:pPr>
              <w:pStyle w:val="Table"/>
            </w:pPr>
            <w:r w:rsidRPr="0087008B">
              <w:t>400,0</w:t>
            </w:r>
          </w:p>
        </w:tc>
      </w:tr>
    </w:tbl>
    <w:p w:rsidR="00F4730A" w:rsidRPr="0087008B" w:rsidRDefault="00F4730A" w:rsidP="0087008B">
      <w:r w:rsidRPr="0087008B">
        <w:t>»</w:t>
      </w:r>
    </w:p>
    <w:sectPr w:rsidR="00F4730A" w:rsidRPr="0087008B" w:rsidSect="00870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199C"/>
    <w:multiLevelType w:val="hybridMultilevel"/>
    <w:tmpl w:val="5454A9E8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CCE"/>
    <w:rsid w:val="00041387"/>
    <w:rsid w:val="000D2393"/>
    <w:rsid w:val="00101724"/>
    <w:rsid w:val="00150956"/>
    <w:rsid w:val="00153885"/>
    <w:rsid w:val="001631C0"/>
    <w:rsid w:val="00176730"/>
    <w:rsid w:val="001B2464"/>
    <w:rsid w:val="001C415E"/>
    <w:rsid w:val="00200F02"/>
    <w:rsid w:val="00202D2B"/>
    <w:rsid w:val="00207CCE"/>
    <w:rsid w:val="00285649"/>
    <w:rsid w:val="002E643C"/>
    <w:rsid w:val="002E773C"/>
    <w:rsid w:val="00303281"/>
    <w:rsid w:val="00350C1B"/>
    <w:rsid w:val="00364CC0"/>
    <w:rsid w:val="00370CE7"/>
    <w:rsid w:val="0037611F"/>
    <w:rsid w:val="003902CD"/>
    <w:rsid w:val="003B761F"/>
    <w:rsid w:val="003C6CA1"/>
    <w:rsid w:val="003C799D"/>
    <w:rsid w:val="004007B9"/>
    <w:rsid w:val="00447890"/>
    <w:rsid w:val="004B59CD"/>
    <w:rsid w:val="004E2A7E"/>
    <w:rsid w:val="004F394F"/>
    <w:rsid w:val="0050539F"/>
    <w:rsid w:val="00512A84"/>
    <w:rsid w:val="00535657"/>
    <w:rsid w:val="00595305"/>
    <w:rsid w:val="00624080"/>
    <w:rsid w:val="006625D0"/>
    <w:rsid w:val="006B1458"/>
    <w:rsid w:val="006B5138"/>
    <w:rsid w:val="007152B5"/>
    <w:rsid w:val="00745ADF"/>
    <w:rsid w:val="00795EA7"/>
    <w:rsid w:val="007A33AB"/>
    <w:rsid w:val="0087008B"/>
    <w:rsid w:val="00873D65"/>
    <w:rsid w:val="008F5CA5"/>
    <w:rsid w:val="008F75AE"/>
    <w:rsid w:val="00981763"/>
    <w:rsid w:val="009C3406"/>
    <w:rsid w:val="009E563E"/>
    <w:rsid w:val="009E7DD8"/>
    <w:rsid w:val="00A01FA4"/>
    <w:rsid w:val="00A16F4E"/>
    <w:rsid w:val="00A43C0B"/>
    <w:rsid w:val="00A6244F"/>
    <w:rsid w:val="00A84B06"/>
    <w:rsid w:val="00A870AB"/>
    <w:rsid w:val="00AE0CDF"/>
    <w:rsid w:val="00B029E4"/>
    <w:rsid w:val="00B51AFB"/>
    <w:rsid w:val="00B76529"/>
    <w:rsid w:val="00B91A58"/>
    <w:rsid w:val="00B95AC4"/>
    <w:rsid w:val="00C2086E"/>
    <w:rsid w:val="00C51231"/>
    <w:rsid w:val="00CA4C14"/>
    <w:rsid w:val="00CB3819"/>
    <w:rsid w:val="00CB5DDD"/>
    <w:rsid w:val="00CD031F"/>
    <w:rsid w:val="00CD7967"/>
    <w:rsid w:val="00CE0575"/>
    <w:rsid w:val="00D27C1B"/>
    <w:rsid w:val="00D3471E"/>
    <w:rsid w:val="00D52AAB"/>
    <w:rsid w:val="00D7133F"/>
    <w:rsid w:val="00E16846"/>
    <w:rsid w:val="00E5545F"/>
    <w:rsid w:val="00E61B11"/>
    <w:rsid w:val="00EB0F18"/>
    <w:rsid w:val="00EC02BF"/>
    <w:rsid w:val="00F447B0"/>
    <w:rsid w:val="00F4730A"/>
    <w:rsid w:val="00F530E4"/>
    <w:rsid w:val="00F62F96"/>
    <w:rsid w:val="00FC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7008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7008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7008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7008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7008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7008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7008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7008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7008B"/>
    <w:rPr>
      <w:rFonts w:ascii="Arial" w:hAnsi="Arial" w:cs="Arial"/>
      <w:b/>
      <w:bCs/>
      <w:sz w:val="28"/>
      <w:szCs w:val="28"/>
    </w:rPr>
  </w:style>
  <w:style w:type="paragraph" w:customStyle="1" w:styleId="1">
    <w:name w:val="Знак Знак1"/>
    <w:basedOn w:val="Normal"/>
    <w:uiPriority w:val="99"/>
    <w:rsid w:val="00207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07CCE"/>
  </w:style>
  <w:style w:type="character" w:customStyle="1" w:styleId="BodyTextChar">
    <w:name w:val="Body Text Char"/>
    <w:basedOn w:val="DefaultParagraphFont"/>
    <w:link w:val="BodyText"/>
    <w:uiPriority w:val="99"/>
    <w:semiHidden/>
    <w:rsid w:val="00FB3AF7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07CCE"/>
    <w:pPr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07CCE"/>
    <w:rPr>
      <w:rFonts w:cs="Times New Roman"/>
      <w:sz w:val="24"/>
      <w:szCs w:val="24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207CCE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AF7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B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F7"/>
    <w:rPr>
      <w:sz w:val="0"/>
      <w:szCs w:val="0"/>
    </w:rPr>
  </w:style>
  <w:style w:type="paragraph" w:styleId="NoSpacing">
    <w:name w:val="No Spacing"/>
    <w:uiPriority w:val="99"/>
    <w:qFormat/>
    <w:rsid w:val="006B1458"/>
    <w:rPr>
      <w:rFonts w:ascii="Calibri" w:hAnsi="Calibri"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447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3AF7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F447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447B0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87008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7008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7008B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7008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7008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700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7008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7008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6</Pages>
  <Words>1132</Words>
  <Characters>6456</Characters>
  <Application>Microsoft Office Outlook</Application>
  <DocSecurity>0</DocSecurity>
  <Lines>0</Lines>
  <Paragraphs>0</Paragraphs>
  <ScaleCrop>false</ScaleCrop>
  <Company>МУ ЦБ "Крапивинский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2014-06-04T02:05:00Z</cp:lastPrinted>
  <dcterms:created xsi:type="dcterms:W3CDTF">2014-07-02T09:36:00Z</dcterms:created>
  <dcterms:modified xsi:type="dcterms:W3CDTF">2014-07-03T02:06:00Z</dcterms:modified>
</cp:coreProperties>
</file>