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Приложение N 1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 Совета народных депутатов Крапивинского муниципального района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 N _____</w:t>
      </w:r>
    </w:p>
    <w:p>
      <w:pPr>
        <w:pStyle w:val="Normal"/>
        <w:numPr>
          <w:ilvl w:val="0"/>
          <w:numId w:val="0"/>
        </w:numPr>
        <w:ind w:firstLine="540"/>
        <w:jc w:val="both"/>
        <w:outlineLvl w:val="0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проектов нормативных правовых актов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Крапивинского муниципального района</w:t>
      </w:r>
      <w:bookmarkStart w:id="0" w:name="sub_6"/>
      <w:bookmarkEnd w:id="0"/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 Настоящий Порядок проведения антикоррупционной экспертизы нормативных правовых актов и проектов нормативных правовых актов Совета народных депутатов Крапивинского муниципального района (далее по тексту – Порядок) разработан в соответствии с Федеральным </w:t>
      </w:r>
      <w:hyperlink r:id="rId2">
        <w:r>
          <w:rPr>
            <w:rStyle w:val="Style17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3">
        <w:r>
          <w:rPr>
            <w:rStyle w:val="Style17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и определяет правила проведения антикоррупционной экспертизы нормативных правовых актов и проектов нормативных правовых актов Совета народных депутатов Крапивинского муниципального района (далее - Совет).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Антикоррупционная экспертиза нормативных правовых актов Совета и их проектов проводится в целях выявления в них коррупциогенных факторов и их последующего устранения.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Коррупциогенными факторами являются положения нормативных правовых актов и проектов нормативных правовых актов,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1.4. Антикоррупционная экспертиза нормативных правовых актов и проектов нормативных правовых актов Совета проводится в соответствии с </w:t>
      </w:r>
      <w:hyperlink r:id="rId4">
        <w:r>
          <w:rPr>
            <w:rStyle w:val="Style17"/>
            <w:rFonts w:cs="Times New Roman" w:ascii="Times New Roman" w:hAnsi="Times New Roman"/>
            <w:sz w:val="28"/>
            <w:szCs w:val="28"/>
          </w:rPr>
          <w:t>Методикой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Внутренняя антикоррупционная экспертиза проектов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нормативных правовых актов и нормативных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правовых актов Совета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Внутренняя антикоррупционная экспертиза проектов нормативных правовых актов и нормативных правовых актов Совета проводится юридическим отделом администрации Крапивинского муниципального района (далее - юридический отдел).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Внутренняя экспертиза проектов нормативных правовых актов Совета осуществляется в рамках правовой экспертизы, проводимой юридическим отделом.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Внутренняя экспертиза нормативных правовых актов Совета осуществляется при мониторинге их применения.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По результатам проведения внутренней экспертизы проектов нормативных правовых актов и нормативных правовых актов Совета составляется заключение, в котором указывается на наличие или отсутствие коррупциогенных факторов, указываются нормы, содержащие такие факторы, и предлагаются способы их устранения.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Заключение на нормативный правовой акт и проект нормативного правового акта, содержащий коррупциогенные факторы, подлежит обязательному рассмотрению на заседании профильной комиссии Совета.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2.6. По результатам рассмотрения на заседании профильной комиссии заключения на проект нормативного правового акта, содержащий коррупциогенные факторы, может быть принято решение о направлении такого акта субъекту правотворческой инициативы для устранения замечаний в порядке, установленном </w:t>
      </w:r>
      <w:hyperlink r:id="rId5">
        <w:r>
          <w:rPr>
            <w:rStyle w:val="Style17"/>
            <w:rFonts w:cs="Times New Roman" w:ascii="Times New Roman" w:hAnsi="Times New Roman"/>
            <w:sz w:val="28"/>
            <w:szCs w:val="28"/>
          </w:rPr>
          <w:t>пунктом 5 статьи 26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Совета.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2.7. По результатам рассмотрения на заседании профильной комиссии Совета заключения на нормативный правовой акт, содержащий коррупциогенные факторы, может быть принято решение о его доработке в порядке, установленном </w:t>
      </w:r>
      <w:hyperlink r:id="rId6">
        <w:r>
          <w:rPr>
            <w:rStyle w:val="Style17"/>
            <w:rFonts w:cs="Times New Roman" w:ascii="Times New Roman" w:hAnsi="Times New Roman"/>
            <w:sz w:val="28"/>
            <w:szCs w:val="28"/>
          </w:rPr>
          <w:t>Регламентом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Совета.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Независимая антикоррупционная экспертиза проектов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нормативных правовых актов и нормативных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правовых актов Совета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Независимая антикоррупционная экспертиза проектов нормативных правовых актов и нормативных правовых актов Совета проводится в срок не позднее 7 дней со дня размещения на официальном сайте, в порядке, установленном нормативными правовыми актами Российской Федерации, физическими лицами, организациями, а также институтами гражданского общества за счет собственных средств (далее - независимые эксперты). 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Независимыми экспертами не могут являться лица, принимавшие участие в подготовке нормативного правового акта.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Для проведения независимой экспертизы проекта нормативного правового акта Совета такой акт размещает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ся на официальном сайте администрации Крапивинского муниципального района в сети Интернет в течение рабочего дня, соответствующего дню внесения проекта нормативного правового акта в Совет,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По результатам независимой экспертизы проекта нормативного правового акта и нормативного правового акта Совета составляется заключение, в котором должны быть указаны выявленные коррупциогенные факторы и предложены способы их устранения.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Заключение направляется в Совет по почте, либо курьерским способом, либо в виде электронного документа.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Заключение носит рекомендательный характер и подлежит обязательному рассмотрению на заседании профильной комиссии Совета в тридцатидневный срок со дня его получения.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Заключения по результатам независимой антикоррупционной экспертизы включаются в пакет документов для рассмотрения на сессии Совета.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3.8. В случае признания доводов, изложенных в заключении на проект нормативного правового акта, обоснованными, на заседании профильной комиссии Совета может быть принято решение о направлении такого акта субъекту правотворческой инициативы для устранения замечаний в порядке, установленном </w:t>
      </w:r>
      <w:hyperlink r:id="rId7">
        <w:r>
          <w:rPr>
            <w:rStyle w:val="Style17"/>
            <w:sz w:val="28"/>
            <w:szCs w:val="28"/>
          </w:rPr>
          <w:t>пунктом 5 статьи 26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Совета.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sz w:val="28"/>
          <w:szCs w:val="28"/>
        </w:rPr>
        <w:t xml:space="preserve">3.9. </w:t>
      </w:r>
      <w:r>
        <w:rPr>
          <w:rFonts w:cs="Times New Roman" w:ascii="Times New Roman" w:hAnsi="Times New Roman"/>
          <w:sz w:val="28"/>
          <w:szCs w:val="28"/>
        </w:rPr>
        <w:t xml:space="preserve">В случае признания доводов, изложенных в заключении на нормативный правовой акт, обоснованными, может быть принято решение о доработке нормативного правового акта в порядке, установленном </w:t>
      </w:r>
      <w:hyperlink r:id="rId8">
        <w:r>
          <w:rPr>
            <w:rStyle w:val="Style17"/>
            <w:rFonts w:cs="Times New Roman" w:ascii="Times New Roman" w:hAnsi="Times New Roman"/>
            <w:sz w:val="28"/>
            <w:szCs w:val="28"/>
          </w:rPr>
          <w:t>Регламентом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Совета.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3.10. По результатам рассмотрения заключения лицу, проводившему независимую экспертизу проекта правового акта или нормативного правового акта Совета,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Normal"/>
        <w:numPr>
          <w:ilvl w:val="0"/>
          <w:numId w:val="0"/>
        </w:numPr>
        <w:ind w:firstLine="540"/>
        <w:jc w:val="both"/>
        <w:outlineLvl w:val="0"/>
        <w:rPr/>
      </w:pPr>
      <w:r>
        <w:rPr/>
      </w:r>
    </w:p>
    <w:sectPr>
      <w:headerReference w:type="default" r:id="rId9"/>
      <w:type w:val="nextPage"/>
      <w:pgSz w:w="11906" w:h="16838"/>
      <w:pgMar w:left="1985" w:right="1134" w:header="709" w:top="1134" w:footer="0" w:bottom="99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3152626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689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74a1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e0496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e0496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Интернет-ссылка"/>
    <w:basedOn w:val="DefaultParagraphFont"/>
    <w:uiPriority w:val="99"/>
    <w:semiHidden/>
    <w:unhideWhenUsed/>
    <w:rsid w:val="00697a1c"/>
    <w:rPr>
      <w:color w:val="0000FF" w:themeColor="hyperlink"/>
      <w:u w:val="single"/>
    </w:rPr>
  </w:style>
  <w:style w:type="character" w:styleId="ListLabel1">
    <w:name w:val="ListLabel 1"/>
    <w:qFormat/>
    <w:rPr>
      <w:b w:val="false"/>
      <w:sz w:val="28"/>
    </w:rPr>
  </w:style>
  <w:style w:type="character" w:styleId="ListLabel2">
    <w:name w:val="ListLabel 2"/>
    <w:qFormat/>
    <w:rPr>
      <w:rFonts w:eastAsia="Calibri"/>
    </w:rPr>
  </w:style>
  <w:style w:type="character" w:styleId="ListLabel3">
    <w:name w:val="ListLabel 3"/>
    <w:qFormat/>
    <w:rPr>
      <w:rFonts w:eastAsia="Calibri"/>
    </w:rPr>
  </w:style>
  <w:style w:type="character" w:styleId="ListLabel4">
    <w:name w:val="ListLabel 4"/>
    <w:qFormat/>
    <w:rPr>
      <w:rFonts w:eastAsia="Calibri"/>
    </w:rPr>
  </w:style>
  <w:style w:type="character" w:styleId="ListLabel5">
    <w:name w:val="ListLabel 5"/>
    <w:qFormat/>
    <w:rPr>
      <w:rFonts w:eastAsia="Calibri"/>
    </w:rPr>
  </w:style>
  <w:style w:type="character" w:styleId="ListLabel6">
    <w:name w:val="ListLabel 6"/>
    <w:qFormat/>
    <w:rPr>
      <w:rFonts w:eastAsia="Calibri"/>
    </w:rPr>
  </w:style>
  <w:style w:type="character" w:styleId="ListLabel7">
    <w:name w:val="ListLabel 7"/>
    <w:qFormat/>
    <w:rPr>
      <w:rFonts w:eastAsia="Calibri"/>
    </w:rPr>
  </w:style>
  <w:style w:type="character" w:styleId="ListLabel8">
    <w:name w:val="ListLabel 8"/>
    <w:qFormat/>
    <w:rPr>
      <w:rFonts w:eastAsia="Calibri"/>
    </w:rPr>
  </w:style>
  <w:style w:type="character" w:styleId="ListLabel9">
    <w:name w:val="ListLabel 9"/>
    <w:qFormat/>
    <w:rPr>
      <w:rFonts w:eastAsia="Calibri"/>
    </w:rPr>
  </w:style>
  <w:style w:type="character" w:styleId="ListLabel10">
    <w:name w:val="ListLabel 10"/>
    <w:qFormat/>
    <w:rPr>
      <w:b w:val="false"/>
      <w:color w:val="00000A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1b689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817a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274a19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89564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0"/>
      <w:lang w:eastAsia="ru-RU" w:val="ru-RU" w:bidi="ar-SA"/>
    </w:rPr>
  </w:style>
  <w:style w:type="paragraph" w:styleId="Style23">
    <w:name w:val="Header"/>
    <w:basedOn w:val="Normal"/>
    <w:link w:val="a7"/>
    <w:uiPriority w:val="99"/>
    <w:unhideWhenUsed/>
    <w:rsid w:val="00e0496a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unhideWhenUsed/>
    <w:rsid w:val="00e0496a"/>
    <w:pPr>
      <w:tabs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697a1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0"/>
      <w:szCs w:val="20"/>
      <w:lang w:eastAsia="ru-RU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1D9E94FB280E6500FD23AFA2E118067A2A4234667F5306891A837CAF77864D3FE327D7BDE9BBCC1FF14DE1293CEE1B100F208FF1C8968F4HFD9C" TargetMode="External"/><Relationship Id="rId3" Type="http://schemas.openxmlformats.org/officeDocument/2006/relationships/hyperlink" Target="consultantplus://offline/ref=51D9E94FB280E6500FD23AFA2E118067A2A52B4F65F7306891A837CAF77864D3FE327D7BDE9BBCC6FD14DE1293CEE1B100F208FF1C8968F4HFD9C" TargetMode="External"/><Relationship Id="rId4" Type="http://schemas.openxmlformats.org/officeDocument/2006/relationships/hyperlink" Target="consultantplus://offline/ref=51D9E94FB280E6500FD23AFA2E118067A3A7234665F3306891A837CAF77864D3FE327D7BDE9BBCC6F814DE1293CEE1B100F208FF1C8968F4HFD9C" TargetMode="External"/><Relationship Id="rId5" Type="http://schemas.openxmlformats.org/officeDocument/2006/relationships/hyperlink" Target="consultantplus://offline/ref=51D9E94FB280E6500FD224F7387DDC62A5AE7D4A63F53C3BC9F76C97A0716E84B97D24399A96BDC4FF1D8F44DCCFBDF553E108FC1C8B6DEBF23A25H5D3C" TargetMode="External"/><Relationship Id="rId6" Type="http://schemas.openxmlformats.org/officeDocument/2006/relationships/hyperlink" Target="consultantplus://offline/ref=51D9E94FB280E6500FD224F7387DDC62A5AE7D4A63F53C3BC9F76C97A0716E84B97D24399A96BDC4FF1F8B42DCCFBDF553E108FC1C8B6DEBF23A25H5D3C" TargetMode="External"/><Relationship Id="rId7" Type="http://schemas.openxmlformats.org/officeDocument/2006/relationships/hyperlink" Target="consultantplus://offline/ref=51D9E94FB280E6500FD224F7387DDC62A5AE7D4A63F53C3BC9F76C97A0716E84B97D24399A96BDC4FF1D8F44DCCFBDF553E108FC1C8B6DEBF23A25H5D3C" TargetMode="External"/><Relationship Id="rId8" Type="http://schemas.openxmlformats.org/officeDocument/2006/relationships/hyperlink" Target="consultantplus://offline/ref=51D9E94FB280E6500FD224F7387DDC62A5AE7D4A63F53C3BC9F76C97A0716E84B97D24399A96BDC4FF1F8B42DCCFBDF553E108FC1C8B6DEBF23A25H5D3C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LibreOffice/6.0.0.3$Windows_x86 LibreOffice_project/64a0f66915f38c6217de274f0aa8e15618924765</Application>
  <Pages>4</Pages>
  <Words>756</Words>
  <Characters>5664</Characters>
  <CharactersWithSpaces>6386</CharactersWithSpaces>
  <Paragraphs>36</Paragraphs>
  <Company>Администрация КМР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2019-04-30T07:17:00Z</dcterms:created>
  <dc:creator>Слонов</dc:creator>
  <dc:description/>
  <dc:language>ru-RU</dc:language>
  <cp:lastModifiedBy/>
  <cp:lastPrinted>2019-05-06T04:46:00Z</cp:lastPrinted>
  <dcterms:modified xsi:type="dcterms:W3CDTF">2019-05-17T13:27:23Z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КМР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