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right"/>
        <w:rPr>
          <w:sz w:val="24"/>
        </w:rPr>
      </w:pPr>
      <w:r>
        <w:rPr>
          <w:sz w:val="24"/>
        </w:rPr>
        <w:t>Приложение №1</w:t>
      </w:r>
    </w:p>
    <w:p w14:paraId="02000000">
      <w:pPr>
        <w:widowControl w:val="1"/>
        <w:ind/>
        <w:jc w:val="right"/>
        <w:rPr>
          <w:sz w:val="24"/>
        </w:rPr>
      </w:pPr>
      <w:r>
        <w:rPr>
          <w:sz w:val="24"/>
        </w:rPr>
        <w:t>к постановлению администрации</w:t>
      </w:r>
    </w:p>
    <w:p w14:paraId="03000000">
      <w:pPr>
        <w:widowControl w:val="1"/>
        <w:ind/>
        <w:jc w:val="right"/>
        <w:rPr>
          <w:sz w:val="24"/>
        </w:rPr>
      </w:pPr>
      <w:r>
        <w:rPr>
          <w:sz w:val="24"/>
        </w:rPr>
        <w:t xml:space="preserve">Крапивинского муниципального </w:t>
      </w:r>
      <w:r>
        <w:rPr>
          <w:sz w:val="24"/>
        </w:rPr>
        <w:t>округа</w:t>
      </w:r>
    </w:p>
    <w:p w14:paraId="04000000">
      <w:pPr>
        <w:widowControl w:val="1"/>
        <w:tabs>
          <w:tab w:leader="none" w:pos="5250" w:val="left"/>
        </w:tabs>
        <w:ind/>
        <w:jc w:val="right"/>
        <w:rPr>
          <w:sz w:val="24"/>
        </w:rPr>
      </w:pPr>
      <w:r>
        <w:rPr>
          <w:sz w:val="24"/>
        </w:rPr>
        <w:tab/>
      </w:r>
      <w:r>
        <w:rPr>
          <w:sz w:val="24"/>
        </w:rPr>
        <w:t>от __________№ __________</w:t>
      </w:r>
    </w:p>
    <w:p w14:paraId="05000000">
      <w:pPr>
        <w:widowControl w:val="1"/>
        <w:tabs>
          <w:tab w:leader="none" w:pos="5250" w:val="left"/>
        </w:tabs>
        <w:ind/>
        <w:jc w:val="both"/>
        <w:rPr>
          <w:sz w:val="24"/>
        </w:rPr>
      </w:pPr>
    </w:p>
    <w:p w14:paraId="06000000">
      <w:pPr>
        <w:widowControl w:val="1"/>
        <w:tabs>
          <w:tab w:leader="none" w:pos="5250" w:val="left"/>
        </w:tabs>
        <w:ind/>
        <w:jc w:val="both"/>
        <w:rPr>
          <w:sz w:val="24"/>
        </w:rPr>
      </w:pPr>
    </w:p>
    <w:p w14:paraId="07000000">
      <w:pPr>
        <w:widowControl w:val="1"/>
        <w:tabs>
          <w:tab w:leader="none" w:pos="5250" w:val="left"/>
        </w:tabs>
        <w:ind/>
        <w:jc w:val="center"/>
        <w:rPr>
          <w:b w:val="1"/>
          <w:sz w:val="28"/>
        </w:rPr>
      </w:pPr>
      <w:r>
        <w:rPr>
          <w:b w:val="1"/>
          <w:sz w:val="28"/>
        </w:rPr>
        <w:t>П</w:t>
      </w:r>
      <w:r>
        <w:rPr>
          <w:b w:val="1"/>
          <w:sz w:val="28"/>
        </w:rPr>
        <w:t xml:space="preserve">рограмма проведения проверки готовности объектов жизнеобеспечения к отопительному периоду </w:t>
      </w:r>
      <w:r>
        <w:rPr>
          <w:b w:val="1"/>
          <w:sz w:val="28"/>
        </w:rPr>
        <w:t>2026</w:t>
      </w:r>
      <w:r>
        <w:rPr>
          <w:b w:val="1"/>
          <w:sz w:val="28"/>
        </w:rPr>
        <w:t>/202</w:t>
      </w:r>
      <w:r>
        <w:rPr>
          <w:b w:val="1"/>
          <w:sz w:val="28"/>
        </w:rPr>
        <w:t>7</w:t>
      </w:r>
      <w:r>
        <w:rPr>
          <w:b w:val="1"/>
          <w:sz w:val="28"/>
        </w:rPr>
        <w:t>гг.</w:t>
      </w:r>
    </w:p>
    <w:p w14:paraId="08000000">
      <w:pPr>
        <w:widowControl w:val="1"/>
        <w:tabs>
          <w:tab w:leader="none" w:pos="5250" w:val="left"/>
        </w:tabs>
        <w:ind/>
        <w:jc w:val="center"/>
        <w:rPr>
          <w:b w:val="1"/>
          <w:sz w:val="28"/>
        </w:rPr>
      </w:pPr>
    </w:p>
    <w:p w14:paraId="09000000">
      <w:pPr>
        <w:widowControl w:val="1"/>
        <w:tabs>
          <w:tab w:leader="none" w:pos="5250" w:val="left"/>
        </w:tabs>
        <w:ind/>
        <w:jc w:val="center"/>
        <w:rPr>
          <w:b w:val="1"/>
          <w:sz w:val="28"/>
        </w:rPr>
      </w:pPr>
      <w:r>
        <w:rPr>
          <w:b w:val="1"/>
          <w:sz w:val="28"/>
        </w:rPr>
        <w:t>1. Общие положения</w:t>
      </w:r>
    </w:p>
    <w:p w14:paraId="0A000000">
      <w:pPr>
        <w:widowControl w:val="1"/>
        <w:tabs>
          <w:tab w:leader="none" w:pos="5250" w:val="left"/>
        </w:tabs>
        <w:ind/>
        <w:jc w:val="center"/>
        <w:rPr>
          <w:b w:val="1"/>
          <w:sz w:val="28"/>
        </w:rPr>
      </w:pPr>
    </w:p>
    <w:p w14:paraId="0B000000">
      <w:pPr>
        <w:widowControl w:val="1"/>
        <w:tabs>
          <w:tab w:leader="none" w:pos="5250" w:val="left"/>
        </w:tabs>
        <w:ind w:firstLine="680"/>
        <w:jc w:val="both"/>
        <w:rPr>
          <w:sz w:val="28"/>
        </w:rPr>
      </w:pPr>
      <w:r>
        <w:rPr>
          <w:sz w:val="28"/>
        </w:rPr>
        <w:t>1.1. Обеспечение надежности функционирования объектов жилищно-коммунального хозяйства, своевременная и всесторонняя  подготовка к отопительному периоду и его организованное проведение, в целях достижения устойчивого тепло-, водоснабжения потребителей, поддержания необходимых параметров энергоносителей и обеспечения нормативного температурного режима в зданиях с учетом из назначения и платежной дисциплины потребителей жилищно-коммунальных услуг, являются важнейшей задачей органов местного самоуправления, организаций жилищно-коммунального хозяйства.</w:t>
      </w:r>
    </w:p>
    <w:p w14:paraId="0C000000">
      <w:pPr>
        <w:widowControl w:val="1"/>
        <w:tabs>
          <w:tab w:leader="none" w:pos="5250" w:val="left"/>
        </w:tabs>
        <w:ind w:firstLine="680"/>
        <w:jc w:val="both"/>
        <w:rPr>
          <w:sz w:val="28"/>
        </w:rPr>
      </w:pPr>
      <w:r>
        <w:rPr>
          <w:sz w:val="28"/>
        </w:rPr>
        <w:t>1.2. 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14:paraId="0D000000">
      <w:pPr>
        <w:widowControl w:val="1"/>
        <w:tabs>
          <w:tab w:leader="none" w:pos="5250" w:val="left"/>
        </w:tabs>
        <w:ind w:firstLine="680"/>
        <w:jc w:val="both"/>
        <w:rPr>
          <w:sz w:val="28"/>
        </w:rPr>
      </w:pPr>
      <w:r>
        <w:rPr>
          <w:sz w:val="28"/>
        </w:rPr>
        <w:t>1.3. Подготовка объектов жилищно-коммунального хозяйства к отопительному периоду должна обеспечивать:</w:t>
      </w:r>
    </w:p>
    <w:p w14:paraId="0E000000">
      <w:pPr>
        <w:widowControl w:val="1"/>
        <w:tabs>
          <w:tab w:leader="none" w:pos="5250" w:val="left"/>
        </w:tabs>
        <w:ind w:firstLine="680"/>
        <w:jc w:val="both"/>
        <w:rPr>
          <w:sz w:val="28"/>
        </w:rPr>
      </w:pPr>
      <w:r>
        <w:rPr>
          <w:sz w:val="28"/>
        </w:rPr>
        <w:t>- нормативную техническую эксплуатацию объектов жилищно-коммунального хозяйства, соблюдение установленного температурно-влажностного режима в помещениях, санитарно-гигиенических условий проживания населения;</w:t>
      </w:r>
    </w:p>
    <w:p w14:paraId="0F000000">
      <w:pPr>
        <w:widowControl w:val="1"/>
        <w:tabs>
          <w:tab w:leader="none" w:pos="5250" w:val="left"/>
        </w:tabs>
        <w:ind w:firstLine="680"/>
        <w:jc w:val="both"/>
        <w:rPr>
          <w:sz w:val="28"/>
        </w:rPr>
      </w:pPr>
      <w:r>
        <w:rPr>
          <w:sz w:val="28"/>
        </w:rPr>
        <w:t>- максимальную надежность и экономичность работы объектов жилищно-коммунального хозяйства;</w:t>
      </w:r>
    </w:p>
    <w:p w14:paraId="10000000">
      <w:pPr>
        <w:widowControl w:val="1"/>
        <w:tabs>
          <w:tab w:leader="none" w:pos="5250" w:val="left"/>
        </w:tabs>
        <w:ind w:firstLine="680"/>
        <w:jc w:val="both"/>
        <w:rPr>
          <w:sz w:val="28"/>
        </w:rPr>
      </w:pPr>
      <w:r>
        <w:rPr>
          <w:sz w:val="28"/>
        </w:rPr>
        <w:t>- соблюдение нормативных сроков службы строительных конструкций и систем инженерно-технического обеспечения зданий жилищного фонда и социальной сферы, оборудования коммунальных сооружений;</w:t>
      </w:r>
    </w:p>
    <w:p w14:paraId="11000000">
      <w:pPr>
        <w:widowControl w:val="1"/>
        <w:tabs>
          <w:tab w:leader="none" w:pos="5250" w:val="left"/>
        </w:tabs>
        <w:ind w:firstLine="680"/>
        <w:jc w:val="both"/>
        <w:rPr>
          <w:sz w:val="28"/>
        </w:rPr>
      </w:pPr>
      <w:r>
        <w:rPr>
          <w:sz w:val="28"/>
        </w:rPr>
        <w:t>- региональное расходование материально-технических средств и топливно-энергетических ресурсов.</w:t>
      </w:r>
    </w:p>
    <w:p w14:paraId="12000000">
      <w:pPr>
        <w:widowControl w:val="1"/>
        <w:tabs>
          <w:tab w:leader="none" w:pos="5250" w:val="left"/>
        </w:tabs>
        <w:ind w:firstLine="680"/>
        <w:jc w:val="both"/>
        <w:rPr>
          <w:sz w:val="28"/>
        </w:rPr>
      </w:pPr>
      <w:r>
        <w:rPr>
          <w:sz w:val="28"/>
        </w:rPr>
        <w:t>1.4.Своевременная и качественная подготовка объектов жилищно-коммунального хозяйства к отопительному периоду достигается:</w:t>
      </w:r>
    </w:p>
    <w:p w14:paraId="13000000">
      <w:pPr>
        <w:widowControl w:val="1"/>
        <w:tabs>
          <w:tab w:leader="none" w:pos="5250" w:val="left"/>
        </w:tabs>
        <w:ind w:firstLine="680"/>
        <w:jc w:val="both"/>
        <w:rPr>
          <w:sz w:val="28"/>
        </w:rPr>
      </w:pPr>
      <w:r>
        <w:rPr>
          <w:sz w:val="28"/>
        </w:rPr>
        <w:t xml:space="preserve">- выполнением должностными лицами требований федерального и областного законодательства, муниципальных нормативных правовых актов, </w:t>
      </w:r>
      <w:r>
        <w:rPr>
          <w:sz w:val="28"/>
        </w:rPr>
        <w:t>требований правил, руководств и инструкций по эксплуатации объектов жилищно-коммунального хозяйства;</w:t>
      </w:r>
    </w:p>
    <w:p w14:paraId="14000000">
      <w:pPr>
        <w:widowControl w:val="1"/>
        <w:tabs>
          <w:tab w:leader="none" w:pos="5250" w:val="left"/>
        </w:tabs>
        <w:ind w:firstLine="680"/>
        <w:jc w:val="both"/>
        <w:rPr>
          <w:sz w:val="28"/>
        </w:rPr>
      </w:pPr>
      <w:r>
        <w:rPr>
          <w:sz w:val="28"/>
        </w:rPr>
        <w:t>- разработкой и соблюдением проектно-сметной документации на строительство, планов капитального и текущего ремонтов, а также технического обслуживания объектов жилищно-коммунального хозяйства;</w:t>
      </w:r>
    </w:p>
    <w:p w14:paraId="15000000">
      <w:pPr>
        <w:widowControl w:val="1"/>
        <w:tabs>
          <w:tab w:leader="none" w:pos="5250" w:val="left"/>
        </w:tabs>
        <w:ind w:firstLine="680"/>
        <w:jc w:val="both"/>
        <w:rPr>
          <w:sz w:val="28"/>
        </w:rPr>
      </w:pPr>
      <w:r>
        <w:rPr>
          <w:sz w:val="28"/>
        </w:rPr>
        <w:t>- постоянным контролем за техническим состоянием, проведением всех видов планово-предупредительных осмотров, а также 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14:paraId="16000000">
      <w:pPr>
        <w:widowControl w:val="1"/>
        <w:tabs>
          <w:tab w:leader="none" w:pos="5250" w:val="left"/>
        </w:tabs>
        <w:ind w:firstLine="680"/>
        <w:jc w:val="both"/>
        <w:rPr>
          <w:sz w:val="28"/>
        </w:rPr>
      </w:pPr>
      <w:r>
        <w:rPr>
          <w:sz w:val="28"/>
        </w:rPr>
        <w:t>- 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ремонтно-восстановительных работ;</w:t>
      </w:r>
    </w:p>
    <w:p w14:paraId="17000000">
      <w:pPr>
        <w:widowControl w:val="1"/>
        <w:tabs>
          <w:tab w:leader="none" w:pos="5250" w:val="left"/>
        </w:tabs>
        <w:ind w:firstLine="680"/>
        <w:jc w:val="both"/>
        <w:rPr>
          <w:sz w:val="28"/>
        </w:rPr>
      </w:pPr>
      <w:r>
        <w:rPr>
          <w:sz w:val="28"/>
        </w:rPr>
        <w:t>- укомплектованием организаций жилищно-коммунального хозяйства подготовленным эксплуатационным и эксплуатационно-ремонтным персоналом до уровня, обеспечивающего решение возлагаемых задач;</w:t>
      </w:r>
    </w:p>
    <w:p w14:paraId="18000000">
      <w:pPr>
        <w:widowControl w:val="1"/>
        <w:tabs>
          <w:tab w:leader="none" w:pos="5250" w:val="left"/>
        </w:tabs>
        <w:ind w:firstLine="680"/>
        <w:jc w:val="both"/>
        <w:rPr>
          <w:sz w:val="28"/>
        </w:rPr>
      </w:pPr>
      <w:r>
        <w:rPr>
          <w:sz w:val="28"/>
        </w:rPr>
        <w:t>- 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фонда, рациональным использованием материальных ресурсов;</w:t>
      </w:r>
    </w:p>
    <w:p w14:paraId="19000000">
      <w:pPr>
        <w:widowControl w:val="1"/>
        <w:tabs>
          <w:tab w:leader="none" w:pos="5250" w:val="left"/>
        </w:tabs>
        <w:ind w:firstLine="680"/>
        <w:jc w:val="both"/>
        <w:rPr>
          <w:sz w:val="28"/>
        </w:rPr>
      </w:pPr>
      <w:r>
        <w:rPr>
          <w:sz w:val="28"/>
        </w:rPr>
        <w:t>- выполнением в полном объеме организационно-технических мероприятий перед началом отопительного периода, комплекса проверок  и испытаний оборудования на функционирование.</w:t>
      </w:r>
    </w:p>
    <w:p w14:paraId="1A000000">
      <w:pPr>
        <w:widowControl w:val="1"/>
        <w:tabs>
          <w:tab w:leader="none" w:pos="5250" w:val="left"/>
        </w:tabs>
        <w:ind w:firstLine="680"/>
        <w:jc w:val="both"/>
        <w:rPr>
          <w:sz w:val="28"/>
        </w:rPr>
      </w:pPr>
      <w:r>
        <w:rPr>
          <w:sz w:val="28"/>
        </w:rPr>
        <w:t>1.5. Цель программы: оценка готовности к отопительному периоду 2025/2026гг объектов жизнеобеспечения Крапивинского муниципального округа.</w:t>
      </w:r>
    </w:p>
    <w:p w14:paraId="1B000000">
      <w:pPr>
        <w:widowControl w:val="1"/>
        <w:tabs>
          <w:tab w:leader="none" w:pos="5250" w:val="left"/>
        </w:tabs>
        <w:ind/>
        <w:jc w:val="both"/>
        <w:rPr>
          <w:sz w:val="28"/>
        </w:rPr>
      </w:pPr>
    </w:p>
    <w:p w14:paraId="1C000000">
      <w:pPr>
        <w:widowControl w:val="1"/>
        <w:tabs>
          <w:tab w:leader="none" w:pos="5250" w:val="left"/>
        </w:tabs>
        <w:ind/>
        <w:jc w:val="center"/>
        <w:rPr>
          <w:b w:val="1"/>
          <w:sz w:val="28"/>
        </w:rPr>
      </w:pPr>
      <w:r>
        <w:rPr>
          <w:b w:val="1"/>
          <w:sz w:val="28"/>
        </w:rPr>
        <w:t>2. Работа комиссии по проверке готовности к отопительному периоду</w:t>
      </w:r>
    </w:p>
    <w:p w14:paraId="1D000000">
      <w:pPr>
        <w:widowControl w:val="1"/>
        <w:tabs>
          <w:tab w:leader="none" w:pos="5250" w:val="left"/>
        </w:tabs>
        <w:ind/>
        <w:jc w:val="both"/>
        <w:rPr>
          <w:sz w:val="28"/>
        </w:rPr>
      </w:pPr>
    </w:p>
    <w:p w14:paraId="1E000000">
      <w:pPr>
        <w:widowControl w:val="1"/>
        <w:tabs>
          <w:tab w:leader="none" w:pos="5250" w:val="left"/>
        </w:tabs>
        <w:ind w:firstLine="680"/>
        <w:jc w:val="both"/>
        <w:rPr>
          <w:sz w:val="28"/>
        </w:rPr>
      </w:pPr>
      <w:r>
        <w:rPr>
          <w:sz w:val="28"/>
        </w:rPr>
        <w:t xml:space="preserve">2.1. </w:t>
      </w:r>
      <w:r>
        <w:rPr>
          <w:sz w:val="28"/>
        </w:rPr>
        <w:t>Муниципальное казенное учреждение «Управление по жизнеобеспечению и строительству администрации Крапивинского муниципального округа» организует:</w:t>
      </w:r>
    </w:p>
    <w:p w14:paraId="1F000000">
      <w:pPr>
        <w:widowControl w:val="1"/>
        <w:tabs>
          <w:tab w:leader="none" w:pos="5250" w:val="left"/>
        </w:tabs>
        <w:ind w:firstLine="680"/>
        <w:jc w:val="both"/>
        <w:rPr>
          <w:sz w:val="28"/>
        </w:rPr>
      </w:pPr>
      <w:r>
        <w:rPr>
          <w:sz w:val="28"/>
        </w:rPr>
        <w:t>- работу комиссии по проверке готовности к отопительному периоду источников теплоснабжения, тепловых сетей  Крапивинского муниципального округа и в целом теплоснабжающих организаций;</w:t>
      </w:r>
    </w:p>
    <w:p w14:paraId="20000000">
      <w:pPr>
        <w:widowControl w:val="1"/>
        <w:tabs>
          <w:tab w:leader="none" w:pos="5250" w:val="left"/>
        </w:tabs>
        <w:ind w:firstLine="680"/>
        <w:jc w:val="both"/>
        <w:rPr>
          <w:sz w:val="28"/>
        </w:rPr>
      </w:pPr>
    </w:p>
    <w:p w14:paraId="21000000">
      <w:pPr>
        <w:widowControl w:val="1"/>
        <w:tabs>
          <w:tab w:leader="none" w:pos="5250" w:val="left"/>
        </w:tabs>
        <w:ind w:firstLine="680"/>
        <w:jc w:val="both"/>
        <w:rPr>
          <w:sz w:val="28"/>
        </w:rPr>
      </w:pPr>
      <w:r>
        <w:rPr>
          <w:sz w:val="28"/>
        </w:rPr>
        <w:t>- работу комиссии по проверке готовности к отопительному периоду объектов жилищно-коммунального хозяйства и социальной сферы;</w:t>
      </w:r>
    </w:p>
    <w:p w14:paraId="22000000">
      <w:pPr>
        <w:widowControl w:val="1"/>
        <w:tabs>
          <w:tab w:leader="none" w:pos="5250" w:val="left"/>
        </w:tabs>
        <w:ind w:firstLine="680"/>
        <w:jc w:val="both"/>
        <w:rPr>
          <w:sz w:val="28"/>
        </w:rPr>
      </w:pPr>
      <w:r>
        <w:rPr>
          <w:sz w:val="28"/>
        </w:rPr>
        <w:t>- проверку готовности жилищного фонда к приему тепла, коммунальных сооружений к отопительному периоду, укомплектованность дежурных смен коммунальных объектов и аварийных бригад подготовленным и аттестованным персоналом, обеспеченность из аварийного неснижаемого запаса, топливом.</w:t>
      </w:r>
    </w:p>
    <w:p w14:paraId="23000000">
      <w:pPr>
        <w:widowControl w:val="1"/>
        <w:tabs>
          <w:tab w:leader="none" w:pos="709" w:val="left"/>
        </w:tabs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Оценка готовности к отопительному периоду источников теплоснабжения, тепловых сетей Крапивинского муниципального округа и в </w:t>
      </w:r>
      <w:r>
        <w:rPr>
          <w:sz w:val="28"/>
        </w:rPr>
        <w:t>целом теплоснабжающих организаций определяется не позднее  25 октября территориальной комиссией по контролю за ходом подготовки объектов жизнеобеспечения к отопительному периоду.</w:t>
      </w:r>
    </w:p>
    <w:p w14:paraId="24000000">
      <w:pPr>
        <w:widowControl w:val="1"/>
        <w:tabs>
          <w:tab w:leader="none" w:pos="709" w:val="left"/>
        </w:tabs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Работа комиссии осуществляется в соответствии с графиком проведения проверки готовности к отопительному периоду, в котором указываются объекты, подлежащие проверке и сроки проведения проверки.</w:t>
      </w:r>
    </w:p>
    <w:p w14:paraId="25000000">
      <w:pPr>
        <w:widowControl w:val="1"/>
        <w:tabs>
          <w:tab w:leader="none" w:pos="709" w:val="left"/>
        </w:tabs>
        <w:ind/>
        <w:jc w:val="both"/>
        <w:rPr>
          <w:sz w:val="28"/>
        </w:rPr>
      </w:pPr>
      <w:r>
        <w:rPr>
          <w:sz w:val="28"/>
        </w:rPr>
        <w:tab/>
      </w:r>
    </w:p>
    <w:p w14:paraId="26000000">
      <w:pPr>
        <w:widowControl w:val="1"/>
        <w:tabs>
          <w:tab w:leader="none" w:pos="709" w:val="left"/>
        </w:tabs>
        <w:ind/>
        <w:jc w:val="both"/>
        <w:rPr>
          <w:sz w:val="28"/>
        </w:rPr>
      </w:pPr>
      <w:r>
        <w:rPr>
          <w:sz w:val="28"/>
        </w:rPr>
        <w:t>График проведения проверки готовности к отопительному периоду</w:t>
      </w:r>
    </w:p>
    <w:p w14:paraId="27000000">
      <w:pPr>
        <w:widowControl w:val="1"/>
        <w:tabs>
          <w:tab w:leader="none" w:pos="709" w:val="left"/>
        </w:tabs>
        <w:ind/>
        <w:jc w:val="both"/>
        <w:rPr>
          <w:sz w:val="28"/>
        </w:rPr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75"/>
        <w:gridCol w:w="6521"/>
        <w:gridCol w:w="1843"/>
      </w:tblGrid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Объекты, подлежащие проверке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Сроки проведения проверки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Теплоснабжающая организация: ООО «Тепло-энергетические предприятия»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25.0</w:t>
            </w:r>
            <w:r>
              <w:rPr>
                <w:sz w:val="24"/>
              </w:rPr>
              <w:t>8</w:t>
            </w:r>
            <w:r>
              <w:rPr>
                <w:sz w:val="24"/>
              </w:rPr>
              <w:t>.202</w:t>
            </w:r>
            <w:r>
              <w:rPr>
                <w:sz w:val="24"/>
              </w:rPr>
              <w:t>6</w:t>
            </w:r>
            <w:r>
              <w:rPr>
                <w:sz w:val="24"/>
              </w:rPr>
              <w:t>г-2</w:t>
            </w:r>
            <w:r>
              <w:rPr>
                <w:sz w:val="24"/>
              </w:rPr>
              <w:t>3</w:t>
            </w:r>
            <w:r>
              <w:rPr>
                <w:sz w:val="24"/>
              </w:rPr>
              <w:t>.0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>.202</w:t>
            </w:r>
            <w:r>
              <w:rPr>
                <w:sz w:val="24"/>
              </w:rPr>
              <w:t>6</w:t>
            </w:r>
            <w:r>
              <w:rPr>
                <w:sz w:val="24"/>
              </w:rPr>
              <w:t>г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Потребители тепловой энергии: 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ГКУ «Крапивинский социально-реабилитационный центр для несовершеннолетних» (1 </w:t>
            </w:r>
            <w:r>
              <w:rPr>
                <w:sz w:val="24"/>
              </w:rPr>
              <w:t>ед</w:t>
            </w:r>
            <w:r>
              <w:rPr>
                <w:sz w:val="24"/>
              </w:rPr>
              <w:t>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25.07.202</w:t>
            </w:r>
            <w:r>
              <w:rPr>
                <w:sz w:val="24"/>
              </w:rPr>
              <w:t>6-22.08.2026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МБУК Клубная система Крапивинского округа» (18 </w:t>
            </w:r>
            <w:r>
              <w:rPr>
                <w:sz w:val="24"/>
              </w:rPr>
              <w:t>ед</w:t>
            </w:r>
            <w:r>
              <w:rPr>
                <w:sz w:val="24"/>
              </w:rPr>
              <w:t>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25.07.202</w:t>
            </w:r>
            <w:r>
              <w:rPr>
                <w:sz w:val="24"/>
              </w:rPr>
              <w:t>6</w:t>
            </w:r>
            <w:r>
              <w:rPr>
                <w:sz w:val="24"/>
              </w:rPr>
              <w:t>-2</w:t>
            </w:r>
            <w:r>
              <w:rPr>
                <w:sz w:val="24"/>
              </w:rPr>
              <w:t>5</w:t>
            </w:r>
            <w:r>
              <w:rPr>
                <w:sz w:val="24"/>
              </w:rPr>
              <w:t>.08.2026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2.3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МБУК «Крапивинская централизованная библиотечная система» (5</w:t>
            </w:r>
            <w:r>
              <w:rPr>
                <w:sz w:val="24"/>
              </w:rPr>
              <w:t xml:space="preserve"> ед</w:t>
            </w:r>
            <w:r>
              <w:rPr>
                <w:sz w:val="24"/>
              </w:rPr>
              <w:t>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25.07.2026</w:t>
            </w:r>
            <w:r>
              <w:rPr>
                <w:sz w:val="24"/>
              </w:rPr>
              <w:t>-2</w:t>
            </w:r>
            <w:r>
              <w:rPr>
                <w:sz w:val="24"/>
              </w:rPr>
              <w:t>5</w:t>
            </w:r>
            <w:r>
              <w:rPr>
                <w:sz w:val="24"/>
              </w:rPr>
              <w:t>.08.2026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2.4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МБУДО Крапивинского муниципального округа «Детская школа искусств» (3 </w:t>
            </w:r>
            <w:r>
              <w:rPr>
                <w:sz w:val="24"/>
              </w:rPr>
              <w:t>ед</w:t>
            </w:r>
            <w:r>
              <w:rPr>
                <w:sz w:val="24"/>
              </w:rPr>
              <w:t>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25.07.2026</w:t>
            </w:r>
            <w:r>
              <w:rPr>
                <w:sz w:val="24"/>
              </w:rPr>
              <w:t>-2</w:t>
            </w:r>
            <w:r>
              <w:rPr>
                <w:sz w:val="24"/>
              </w:rPr>
              <w:t>5</w:t>
            </w:r>
            <w:r>
              <w:rPr>
                <w:sz w:val="24"/>
              </w:rPr>
              <w:t>.08.2026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МБУ ДО «Спортивная школа Крапивинского муниципального округа»</w:t>
            </w:r>
            <w:r>
              <w:rPr>
                <w:sz w:val="24"/>
              </w:rPr>
              <w:t xml:space="preserve"> (4 ед)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25.07.2026</w:t>
            </w:r>
            <w:r>
              <w:rPr>
                <w:sz w:val="24"/>
              </w:rPr>
              <w:t>-2</w:t>
            </w:r>
            <w:r>
              <w:rPr>
                <w:sz w:val="24"/>
              </w:rPr>
              <w:t>5</w:t>
            </w:r>
            <w:r>
              <w:rPr>
                <w:sz w:val="24"/>
              </w:rPr>
              <w:t>.08.2026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2.6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МБУК «Молодежный  культурно-досуговый центр «Лидер»</w:t>
            </w:r>
            <w:r>
              <w:rPr>
                <w:sz w:val="24"/>
              </w:rPr>
              <w:t xml:space="preserve"> (1 ед)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25.07.2026</w:t>
            </w:r>
            <w:r>
              <w:rPr>
                <w:sz w:val="24"/>
              </w:rPr>
              <w:t>-2</w:t>
            </w:r>
            <w:r>
              <w:rPr>
                <w:sz w:val="24"/>
              </w:rPr>
              <w:t>5</w:t>
            </w:r>
            <w:r>
              <w:rPr>
                <w:sz w:val="24"/>
              </w:rPr>
              <w:t>.08.2026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2.7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МБУ «КЦСОН» Крапивинского округа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УСЗН администрации КМО</w:t>
            </w:r>
            <w:r>
              <w:rPr>
                <w:sz w:val="24"/>
              </w:rPr>
              <w:t xml:space="preserve"> (1 ед)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25.07.2026</w:t>
            </w:r>
            <w:r>
              <w:rPr>
                <w:sz w:val="24"/>
              </w:rPr>
              <w:t>-2</w:t>
            </w:r>
            <w:r>
              <w:rPr>
                <w:sz w:val="24"/>
              </w:rPr>
              <w:t>5</w:t>
            </w:r>
            <w:r>
              <w:rPr>
                <w:sz w:val="24"/>
              </w:rPr>
              <w:t>.08.2026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2.8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ГБУЗ КО «Крапивинская районная больница»</w:t>
            </w:r>
            <w:r>
              <w:rPr>
                <w:sz w:val="24"/>
              </w:rPr>
              <w:t xml:space="preserve"> (10 ед)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25.07.2026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30</w:t>
            </w:r>
            <w:r>
              <w:rPr>
                <w:sz w:val="24"/>
              </w:rPr>
              <w:t>.0</w:t>
            </w:r>
            <w:r>
              <w:rPr>
                <w:sz w:val="24"/>
              </w:rPr>
              <w:t>7</w:t>
            </w:r>
            <w:r>
              <w:rPr>
                <w:sz w:val="24"/>
              </w:rPr>
              <w:t>.2026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2.9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Управление образования администрации (25 ед.)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25.07.2026</w:t>
            </w:r>
            <w:r>
              <w:rPr>
                <w:sz w:val="24"/>
              </w:rPr>
              <w:t>-2</w:t>
            </w:r>
            <w:r>
              <w:rPr>
                <w:sz w:val="24"/>
              </w:rPr>
              <w:t>5</w:t>
            </w:r>
            <w:r>
              <w:rPr>
                <w:sz w:val="24"/>
              </w:rPr>
              <w:t>.08.2026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2.10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Многоквартирные дома (8</w:t>
            </w:r>
            <w:r>
              <w:rPr>
                <w:sz w:val="24"/>
              </w:rPr>
              <w:t>2</w:t>
            </w:r>
            <w:bookmarkStart w:id="1" w:name="_GoBack"/>
            <w:bookmarkEnd w:id="1"/>
            <w:r>
              <w:rPr>
                <w:sz w:val="24"/>
              </w:rPr>
              <w:t xml:space="preserve"> ед)</w:t>
            </w:r>
          </w:p>
          <w:p w14:paraId="4E000000">
            <w:pPr>
              <w:widowControl w:val="1"/>
              <w:ind/>
              <w:jc w:val="both"/>
              <w:rPr>
                <w:sz w:val="24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29.07.2026-29.08.2026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2.11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ООО «Кузбасская энергосетевая компания» филиал «Энергосеть г. Белово»</w:t>
            </w:r>
            <w:r>
              <w:rPr>
                <w:sz w:val="24"/>
              </w:rPr>
              <w:t xml:space="preserve"> (2 ед)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00000">
            <w:pPr>
              <w:widowControl w:val="1"/>
              <w:tabs>
                <w:tab w:leader="none" w:pos="70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25.07.2026-11.08.2026</w:t>
            </w:r>
          </w:p>
        </w:tc>
      </w:tr>
    </w:tbl>
    <w:p w14:paraId="53000000">
      <w:pPr>
        <w:widowControl w:val="1"/>
        <w:tabs>
          <w:tab w:leader="none" w:pos="709" w:val="left"/>
        </w:tabs>
        <w:ind/>
        <w:jc w:val="both"/>
        <w:rPr>
          <w:sz w:val="28"/>
        </w:rPr>
      </w:pPr>
    </w:p>
    <w:p w14:paraId="54000000">
      <w:pPr>
        <w:pStyle w:val="Style_2"/>
        <w:widowControl w:val="0"/>
        <w:tabs>
          <w:tab w:leader="none" w:pos="1320" w:val="left"/>
        </w:tabs>
        <w:ind w:firstLine="709" w:left="0"/>
        <w:contextualSpacing w:val="0"/>
        <w:jc w:val="both"/>
        <w:rPr>
          <w:color w:val="0E0E0E"/>
          <w:sz w:val="28"/>
        </w:rPr>
      </w:pPr>
      <w:r>
        <w:rPr>
          <w:color w:val="181818"/>
          <w:spacing w:val="-6"/>
          <w:sz w:val="28"/>
        </w:rPr>
        <w:t>Проверка</w:t>
      </w:r>
      <w:r>
        <w:rPr>
          <w:color w:val="181818"/>
          <w:spacing w:val="-7"/>
          <w:sz w:val="28"/>
        </w:rPr>
        <w:t xml:space="preserve"> проводится на предмет исполнения ст.20 Федерального закона от 27.10.2010 №190-ФЗ «О теплоснабжении» и соблюдения обязательных требований, установленных Правилами оценки готовности к отопительному периоду, утвержденными приказом Министерства энергетики РФ от 13.11.2024 №2234 «Об утверждении Правил обеспечения готовности к отопительному периоду и Порядка проведения оценки обеспечения готовности к отопительному периоду.</w:t>
      </w:r>
    </w:p>
    <w:p w14:paraId="55000000">
      <w:pPr>
        <w:widowControl w:val="1"/>
        <w:tabs>
          <w:tab w:leader="none" w:pos="709" w:val="left"/>
        </w:tabs>
        <w:ind w:firstLine="680"/>
        <w:jc w:val="both"/>
        <w:rPr>
          <w:sz w:val="28"/>
        </w:rPr>
      </w:pPr>
      <w:r>
        <w:rPr>
          <w:sz w:val="28"/>
        </w:rPr>
        <w:t xml:space="preserve">В случае отсутствия обязательных требований технических регламентов или иных нормативных актов в сфере теплоснабжения в отношении требований, установленных Правилами, комиссия осуществляет </w:t>
      </w:r>
      <w:r>
        <w:rPr>
          <w:sz w:val="28"/>
        </w:rPr>
        <w:t>проверку соблюдения локальных актов организаций, подлежащих проверке, регулирующих порядок подготовки к отопительному периоду</w:t>
      </w:r>
      <w:r>
        <w:rPr>
          <w:sz w:val="28"/>
        </w:rPr>
        <w:t>.</w:t>
      </w:r>
    </w:p>
    <w:p w14:paraId="56000000">
      <w:pPr>
        <w:widowControl w:val="1"/>
        <w:tabs>
          <w:tab w:leader="none" w:pos="709" w:val="left"/>
        </w:tabs>
        <w:ind w:firstLine="680"/>
        <w:jc w:val="both"/>
        <w:rPr>
          <w:sz w:val="28"/>
        </w:rPr>
      </w:pPr>
      <w:r>
        <w:rPr>
          <w:sz w:val="28"/>
        </w:rPr>
        <w:t>2.2. Заседание комиссии проводятся по мере необходимости.</w:t>
      </w:r>
    </w:p>
    <w:p w14:paraId="57000000">
      <w:pPr>
        <w:widowControl w:val="1"/>
        <w:tabs>
          <w:tab w:leader="none" w:pos="709" w:val="left"/>
        </w:tabs>
        <w:ind w:firstLine="680"/>
        <w:jc w:val="both"/>
        <w:rPr>
          <w:sz w:val="28"/>
        </w:rPr>
      </w:pPr>
      <w:r>
        <w:rPr>
          <w:sz w:val="28"/>
        </w:rPr>
        <w:t>2.3.</w:t>
      </w:r>
      <w:r>
        <w:rPr>
          <w:sz w:val="28"/>
        </w:rPr>
        <w:t xml:space="preserve"> </w:t>
      </w:r>
      <w:r>
        <w:rPr>
          <w:sz w:val="28"/>
        </w:rPr>
        <w:t>Решения комиссии оформляются протоколом, который подписывается председателем комиссии либо заместителем председателя комиссии, и носят рекомендательный характер.</w:t>
      </w:r>
    </w:p>
    <w:p w14:paraId="58000000">
      <w:pPr>
        <w:widowControl w:val="1"/>
        <w:tabs>
          <w:tab w:leader="none" w:pos="0" w:val="left"/>
        </w:tabs>
        <w:ind w:firstLine="680"/>
        <w:jc w:val="both"/>
        <w:rPr>
          <w:sz w:val="28"/>
        </w:rPr>
      </w:pPr>
      <w:r>
        <w:rPr>
          <w:sz w:val="28"/>
        </w:rPr>
        <w:t>2.2. В</w:t>
      </w:r>
      <w:r>
        <w:rPr>
          <w:sz w:val="28"/>
        </w:rPr>
        <w:tab/>
      </w:r>
      <w:r>
        <w:rPr>
          <w:sz w:val="28"/>
        </w:rPr>
        <w:t xml:space="preserve"> целях проведения проверки комиссия рассматривает документы, подтверждающие выполнение требований по готовности, а при необходимости – проводят осмотр объектов проверки.</w:t>
      </w:r>
    </w:p>
    <w:p w14:paraId="59000000">
      <w:pPr>
        <w:widowControl w:val="1"/>
        <w:tabs>
          <w:tab w:leader="none" w:pos="0" w:val="left"/>
        </w:tabs>
        <w:ind w:firstLine="680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Теплоснабжающая организация и потребители тепловой энергии представляют </w:t>
      </w:r>
      <w:r>
        <w:rPr>
          <w:sz w:val="28"/>
        </w:rPr>
        <w:t>МКУ «УЖС АКМО»</w:t>
      </w:r>
      <w:r>
        <w:rPr>
          <w:sz w:val="28"/>
        </w:rPr>
        <w:t xml:space="preserve"> информацию по выполнению требований по готовности к отопительному периоду в соответствии с </w:t>
      </w:r>
      <w:r>
        <w:rPr>
          <w:color w:val="181818"/>
          <w:spacing w:val="-7"/>
          <w:sz w:val="28"/>
        </w:rPr>
        <w:t>Правилами оценки готовности</w:t>
      </w:r>
      <w:r>
        <w:rPr>
          <w:sz w:val="28"/>
        </w:rPr>
        <w:t>.</w:t>
      </w:r>
    </w:p>
    <w:p w14:paraId="5A000000">
      <w:pPr>
        <w:widowControl w:val="1"/>
        <w:tabs>
          <w:tab w:leader="none" w:pos="0" w:val="left"/>
        </w:tabs>
        <w:ind w:firstLine="680"/>
        <w:jc w:val="both"/>
        <w:rPr>
          <w:i w:val="1"/>
          <w:sz w:val="28"/>
        </w:rPr>
      </w:pPr>
    </w:p>
    <w:p w14:paraId="5B000000">
      <w:pPr>
        <w:widowControl w:val="1"/>
        <w:tabs>
          <w:tab w:leader="none" w:pos="0" w:val="left"/>
        </w:tabs>
        <w:ind w:firstLine="680"/>
        <w:jc w:val="both"/>
        <w:rPr>
          <w:i w:val="1"/>
          <w:sz w:val="28"/>
        </w:rPr>
      </w:pPr>
      <w:r>
        <w:rPr>
          <w:i w:val="1"/>
          <w:sz w:val="28"/>
        </w:rPr>
        <w:t xml:space="preserve">Перечень вопросов и документов для </w:t>
      </w:r>
      <w:r>
        <w:rPr>
          <w:i w:val="1"/>
          <w:sz w:val="28"/>
          <w:u w:val="single"/>
        </w:rPr>
        <w:t>теплоснабжающих организаций</w:t>
      </w:r>
      <w:r>
        <w:rPr>
          <w:i w:val="1"/>
          <w:sz w:val="28"/>
        </w:rPr>
        <w:t>:</w:t>
      </w:r>
    </w:p>
    <w:p w14:paraId="5C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соглашение об управлении системой теплоснабжения, заключенного в порядке установленным Законом о теплоснабжении.</w:t>
      </w:r>
      <w:bookmarkStart w:id="2" w:name="P99"/>
      <w:bookmarkEnd w:id="2"/>
    </w:p>
    <w:p w14:paraId="5D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график тепловых нагрузок по каждому источнику тепловой энергии.</w:t>
      </w:r>
    </w:p>
    <w:p w14:paraId="5E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тепловые схемы источников теплоснабжения.</w:t>
      </w:r>
    </w:p>
    <w:p w14:paraId="5F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утвержденные топливный режим и нормативные запасы топлива (осно</w:t>
      </w:r>
      <w:r>
        <w:rPr>
          <w:rFonts w:ascii="Times New Roman" w:hAnsi="Times New Roman"/>
          <w:sz w:val="28"/>
        </w:rPr>
        <w:t>вно</w:t>
      </w:r>
      <w:r>
        <w:rPr>
          <w:rFonts w:ascii="Times New Roman" w:hAnsi="Times New Roman"/>
          <w:sz w:val="28"/>
        </w:rPr>
        <w:t>го и резервного) источников тепловой энергию.</w:t>
      </w:r>
    </w:p>
    <w:p w14:paraId="60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договоры на поставку топлива.</w:t>
      </w:r>
    </w:p>
    <w:p w14:paraId="61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утвержденный штат персонала экс</w:t>
      </w:r>
      <w:r>
        <w:rPr>
          <w:rFonts w:ascii="Times New Roman" w:hAnsi="Times New Roman"/>
          <w:sz w:val="28"/>
        </w:rPr>
        <w:t>плуатационной, диспетчерской и аварийных служб, справка об его укомплектованности.</w:t>
      </w:r>
    </w:p>
    <w:p w14:paraId="62000000">
      <w:pPr>
        <w:pStyle w:val="Style_3"/>
        <w:widowControl w:val="1"/>
        <w:spacing w:before="240"/>
        <w:ind w:firstLine="540"/>
        <w:jc w:val="both"/>
      </w:pPr>
      <w: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Утвержденные эксплуатационные инструкции объектов теплоснабжения и (или) производственные инструкции</w:t>
      </w:r>
    </w:p>
    <w:p w14:paraId="63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Организационно-распорядительные документы организации о назначении лиц, ответственных за безопасную эксплуатацию тепловых энергоустановок</w:t>
      </w:r>
    </w:p>
    <w:p w14:paraId="64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Копии удостоверений о проверке знаний или журнала проверки знаний, протоколов проверки знаний Правил технической эксплуатации электроустановок потребителей электрической энергии</w:t>
      </w:r>
    </w:p>
    <w:p w14:paraId="65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r>
        <w:t xml:space="preserve">- </w:t>
      </w:r>
      <w:r>
        <w:rPr>
          <w:rFonts w:ascii="Times New Roman" w:hAnsi="Times New Roman"/>
          <w:sz w:val="28"/>
        </w:rPr>
        <w:t xml:space="preserve">отчеты о проведении режимно-наладочных </w:t>
      </w:r>
      <w:r>
        <w:rPr>
          <w:rFonts w:ascii="Times New Roman" w:hAnsi="Times New Roman"/>
          <w:sz w:val="28"/>
        </w:rPr>
        <w:t>работ на источниках тепловой энергии.</w:t>
      </w:r>
    </w:p>
    <w:p w14:paraId="66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акты допуска узлов учета тепловой энергии и теплоносителя на источниках тепловой энергии.</w:t>
      </w:r>
    </w:p>
    <w:p w14:paraId="67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Акты (технические отчеты) о проведении испытаний тепловых сетей (в соответствии с графиком проведения испытаний, утвержденным руководителем (техническим руководителем) организации) на максимальную температуру, о проведении испытаний по определению тепловых потерь через тепловую изоляцию, о проведении испытания по определению гидравлических потерь трубопроводов водяных тепловых сетей</w:t>
      </w:r>
      <w:r>
        <w:rPr>
          <w:rFonts w:ascii="Times New Roman" w:hAnsi="Times New Roman"/>
          <w:sz w:val="28"/>
        </w:rPr>
        <w:t>.</w:t>
      </w:r>
    </w:p>
    <w:p w14:paraId="68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Копии актов ввода в эксплуатацию и актов периодической проверки узла учета и средств измерений, входящих в состав узла учета (в случае организации коммерческого учета), содержащие результаты поверки таких приборов и средств измерений, акты разграничения балансовой принадлежности</w:t>
      </w:r>
      <w:r>
        <w:rPr>
          <w:rFonts w:ascii="Times New Roman" w:hAnsi="Times New Roman"/>
          <w:b w:val="1"/>
          <w:sz w:val="28"/>
        </w:rPr>
        <w:t>.</w:t>
      </w:r>
    </w:p>
    <w:p w14:paraId="69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bookmarkStart w:id="3" w:name="P116"/>
      <w:bookmarkEnd w:id="3"/>
      <w:bookmarkStart w:id="4" w:name="P117"/>
      <w:bookmarkEnd w:id="4"/>
      <w:bookmarkStart w:id="5" w:name="P120"/>
      <w:bookmarkEnd w:id="5"/>
      <w:r>
        <w:rPr>
          <w:rFonts w:ascii="Times New Roman" w:hAnsi="Times New Roman"/>
          <w:sz w:val="28"/>
        </w:rPr>
        <w:t>- Копии актов комплексного обследования, очередных и внеочередных осмотров зданий и сооружений объектов теплоснабжения, журналов, паспортов зданий и сооружений</w:t>
      </w:r>
    </w:p>
    <w:p w14:paraId="6A000000">
      <w:pPr>
        <w:pStyle w:val="Style_3"/>
        <w:widowControl w:val="1"/>
        <w:spacing w:before="240"/>
        <w:ind w:firstLine="540"/>
        <w:jc w:val="both"/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Копии утвержденной инструкции по эксплуатации установок для докотловой обработки воды (если предусмотрены проектной документацией объектов теплоснабжения) и инструкции по ведению водно-химического режима, включающей режимные карты, утвержденный график химконтроля за водно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химическим режимом котельных и тепловых сетей</w:t>
      </w:r>
    </w:p>
    <w:p w14:paraId="6B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Утвержденный порядок (план) действий по ликвидации последствий аварийных ситуаций в сфере теплоснабжения, устанавливающие действия работников в аварийных ситуациях (в том числе при аварии)</w:t>
      </w:r>
    </w:p>
    <w:p w14:paraId="6C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перечень </w:t>
      </w:r>
      <w:r>
        <w:rPr>
          <w:rFonts w:ascii="Times New Roman" w:hAnsi="Times New Roman"/>
          <w:sz w:val="28"/>
        </w:rPr>
        <w:t xml:space="preserve">аварийных </w:t>
      </w:r>
      <w:r>
        <w:rPr>
          <w:rFonts w:ascii="Times New Roman" w:hAnsi="Times New Roman"/>
          <w:sz w:val="28"/>
        </w:rPr>
        <w:t>запасов материалов, запорной арматуры, запасных частей, средств механизации для выполнения срочных внеплановых (аварийных) ремонтных работ, результаты последней проведенной инвентаризации запасов материалов, запорной арматуры, запасных частей</w:t>
      </w:r>
    </w:p>
    <w:p w14:paraId="6D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Акты проведения гидравлических испытаний на прочность и плотность трубопроводов тепловых сетей</w:t>
      </w:r>
    </w:p>
    <w:p w14:paraId="6E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план подготовки к работе в отопительный период</w:t>
      </w:r>
    </w:p>
    <w:p w14:paraId="6F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Утвержденное положение о диспетчерской службе или распорядительный документ организации о назначении лица, ответственного за диспетчерское управление </w:t>
      </w:r>
    </w:p>
    <w:p w14:paraId="70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- Утвержденные инструкции по охране труда, утвержденный порядок производства работ повышенной опасности и оформления наряда-допуска, утвержденный перечень работ, выполняемых по нарядам-допускам </w:t>
      </w:r>
    </w:p>
    <w:p w14:paraId="71000000">
      <w:pPr>
        <w:pStyle w:val="Style_3"/>
        <w:widowControl w:val="1"/>
        <w:ind w:firstLine="540"/>
        <w:jc w:val="both"/>
        <w:rPr>
          <w:rFonts w:ascii="Times New Roman" w:hAnsi="Times New Roman"/>
          <w:sz w:val="28"/>
        </w:rPr>
      </w:pPr>
    </w:p>
    <w:p w14:paraId="72000000">
      <w:pPr>
        <w:pStyle w:val="Style_3"/>
        <w:widowControl w:val="1"/>
        <w:ind w:firstLine="540"/>
        <w:jc w:val="both"/>
        <w:rPr>
          <w:rFonts w:ascii="Times New Roman" w:hAnsi="Times New Roman"/>
          <w:sz w:val="28"/>
        </w:rPr>
      </w:pPr>
      <w:bookmarkStart w:id="6" w:name="P112"/>
      <w:bookmarkEnd w:id="6"/>
      <w:r>
        <w:rPr>
          <w:rFonts w:ascii="Times New Roman" w:hAnsi="Times New Roman"/>
          <w:sz w:val="28"/>
        </w:rPr>
        <w:t xml:space="preserve">- Копии утвержденных Правил промышленной безопасности программ противоаварийных тренировок, журналов, подтверждающих проведение </w:t>
      </w:r>
      <w:r>
        <w:rPr>
          <w:rFonts w:ascii="Times New Roman" w:hAnsi="Times New Roman"/>
          <w:sz w:val="28"/>
        </w:rPr>
        <w:t>тренировок согласно утвержденной программе противоаварийных тренировок.</w:t>
      </w:r>
      <w:bookmarkStart w:id="7" w:name="P113"/>
      <w:bookmarkEnd w:id="7"/>
      <w:r>
        <w:rPr>
          <w:rFonts w:ascii="Times New Roman" w:hAnsi="Times New Roman"/>
          <w:sz w:val="28"/>
        </w:rPr>
        <w:t xml:space="preserve"> </w:t>
      </w:r>
    </w:p>
    <w:p w14:paraId="73000000">
      <w:pPr>
        <w:pStyle w:val="Style_3"/>
        <w:widowControl w:val="1"/>
        <w:ind w:firstLine="54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- Утвержденные температурные графики, гидравлические режимы работы системы теплоснабжения на предстоящий отопительный период, а также копии эксплуатационных инструкций по ведению и контролю режимов работы системы теплоснабжения </w:t>
      </w:r>
    </w:p>
    <w:p w14:paraId="74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bookmarkStart w:id="8" w:name="P114"/>
      <w:bookmarkEnd w:id="8"/>
      <w:bookmarkStart w:id="9" w:name="P115"/>
      <w:bookmarkEnd w:id="9"/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Копии актов и паспортов дымовых труб, в которых в соответствии с требованиями отражены результаты наблюдений за техническим состоянием дымовых труб </w:t>
      </w:r>
      <w:bookmarkStart w:id="10" w:name="P122"/>
      <w:bookmarkEnd w:id="10"/>
    </w:p>
    <w:p w14:paraId="75000000">
      <w:pPr>
        <w:pStyle w:val="Style_3"/>
        <w:widowControl w:val="1"/>
        <w:ind w:firstLine="540"/>
        <w:jc w:val="both"/>
        <w:rPr>
          <w:rFonts w:ascii="Times New Roman" w:hAnsi="Times New Roman"/>
          <w:sz w:val="28"/>
        </w:rPr>
      </w:pPr>
      <w:bookmarkStart w:id="11" w:name="P124"/>
      <w:bookmarkEnd w:id="11"/>
      <w:bookmarkStart w:id="12" w:name="P125"/>
      <w:bookmarkEnd w:id="12"/>
      <w:bookmarkStart w:id="13" w:name="P126"/>
      <w:bookmarkEnd w:id="13"/>
      <w:bookmarkStart w:id="14" w:name="P129"/>
      <w:bookmarkEnd w:id="14"/>
    </w:p>
    <w:p w14:paraId="76000000">
      <w:pPr>
        <w:widowControl w:val="1"/>
        <w:tabs>
          <w:tab w:leader="none" w:pos="0" w:val="left"/>
        </w:tabs>
        <w:ind w:firstLine="680"/>
        <w:jc w:val="both"/>
        <w:rPr>
          <w:i w:val="1"/>
          <w:sz w:val="28"/>
        </w:rPr>
      </w:pPr>
      <w:bookmarkStart w:id="15" w:name="P133"/>
      <w:bookmarkEnd w:id="15"/>
      <w:r>
        <w:rPr>
          <w:i w:val="1"/>
          <w:sz w:val="28"/>
        </w:rPr>
        <w:t xml:space="preserve">Для </w:t>
      </w:r>
      <w:r>
        <w:rPr>
          <w:i w:val="1"/>
          <w:sz w:val="28"/>
          <w:u w:val="single"/>
        </w:rPr>
        <w:t xml:space="preserve">потребителей </w:t>
      </w:r>
      <w:r>
        <w:rPr>
          <w:i w:val="1"/>
          <w:sz w:val="28"/>
        </w:rPr>
        <w:t>тепловой энергии:</w:t>
      </w:r>
    </w:p>
    <w:p w14:paraId="77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Обеспечить выполнение требований </w:t>
      </w:r>
      <w:r>
        <w:rPr>
          <w:rFonts w:ascii="Times New Roman" w:hAnsi="Times New Roman"/>
          <w:color w:val="0000FF"/>
          <w:sz w:val="28"/>
        </w:rPr>
        <w:fldChar w:fldCharType="begin"/>
      </w:r>
      <w:r>
        <w:rPr>
          <w:rFonts w:ascii="Times New Roman" w:hAnsi="Times New Roman"/>
          <w:color w:val="0000FF"/>
          <w:sz w:val="28"/>
        </w:rPr>
        <w:instrText>HYPERLINK "https://login.consultant.ru/link/?req=doc&amp;base=LAW&amp;n=44772&amp;date=16.04.2025&amp;dst=100012&amp;field=134" \o "Постановление Госстроя РФ от 27.09.2003 N 170 (с изм. от 22.06.2022) "Об утверждении Правил и норм технической эксплуатации жилищного фонда" (Зарегистрировано в Минюсте РФ 15.10.2003 N 5176) {КонсультантПлюс}"</w:instrText>
      </w:r>
      <w:r>
        <w:rPr>
          <w:rFonts w:ascii="Times New Roman" w:hAnsi="Times New Roman"/>
          <w:color w:val="0000FF"/>
          <w:sz w:val="28"/>
        </w:rPr>
        <w:fldChar w:fldCharType="separate"/>
      </w:r>
      <w:r>
        <w:rPr>
          <w:rFonts w:ascii="Times New Roman" w:hAnsi="Times New Roman"/>
          <w:color w:val="0000FF"/>
          <w:sz w:val="28"/>
        </w:rPr>
        <w:t>Правил</w:t>
      </w:r>
      <w:r>
        <w:rPr>
          <w:rFonts w:ascii="Times New Roman" w:hAnsi="Times New Roman"/>
          <w:color w:val="0000FF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и норм технической эксплуатации жилищного фонда </w:t>
      </w:r>
      <w:bookmarkStart w:id="16" w:name="P154"/>
      <w:bookmarkEnd w:id="16"/>
      <w:bookmarkStart w:id="17" w:name="P155"/>
      <w:bookmarkEnd w:id="17"/>
    </w:p>
    <w:p w14:paraId="78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Обеспечить выполнение предписаний, содержащих требования об устранении нарушений.</w:t>
      </w:r>
    </w:p>
    <w:p w14:paraId="79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bookmarkStart w:id="18" w:name="P156"/>
      <w:bookmarkEnd w:id="18"/>
      <w:r>
        <w:rPr>
          <w:rFonts w:ascii="Times New Roman" w:hAnsi="Times New Roman"/>
          <w:sz w:val="28"/>
        </w:rPr>
        <w:t xml:space="preserve">- Обеспечить выполнение плана подготовки к отопительному периоду, предусмотренного Правилами и представить комиссии документы, подтверждающие выполнение </w:t>
      </w:r>
      <w:bookmarkStart w:id="19" w:name="P157"/>
      <w:bookmarkEnd w:id="19"/>
    </w:p>
    <w:p w14:paraId="7A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Акты промывки теплопотребляющей установки, проведенной в присутствии представителя единой теплоснабжающей организации </w:t>
      </w:r>
    </w:p>
    <w:p w14:paraId="7B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bookmarkStart w:id="20" w:name="P158"/>
      <w:bookmarkEnd w:id="20"/>
      <w:r>
        <w:rPr>
          <w:rFonts w:ascii="Times New Roman" w:hAnsi="Times New Roman"/>
          <w:sz w:val="28"/>
        </w:rPr>
        <w:t>- Акты о проведении наладки режимов потребления тепловой энергии и (или) теплоносителя (в том числе тепловых и гидравлических режимов) теплового пункта, внутридомовых сетей и теплопотребляющих установок, актов об установке и пломбировании дроссельных (ограничительных) устройств во внутренних системах, включая элеваторы и шайбы на линиях рецир</w:t>
      </w:r>
      <w:r>
        <w:rPr>
          <w:rFonts w:ascii="Times New Roman" w:hAnsi="Times New Roman"/>
          <w:sz w:val="28"/>
        </w:rPr>
        <w:t>куляции горячего водоснабжения</w:t>
      </w:r>
      <w:r>
        <w:rPr>
          <w:rFonts w:ascii="Times New Roman" w:hAnsi="Times New Roman"/>
          <w:b w:val="1"/>
          <w:sz w:val="28"/>
        </w:rPr>
        <w:t>.</w:t>
      </w:r>
    </w:p>
    <w:p w14:paraId="7C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bookmarkStart w:id="21" w:name="P161"/>
      <w:bookmarkEnd w:id="21"/>
      <w:r>
        <w:rPr>
          <w:rFonts w:ascii="Times New Roman" w:hAnsi="Times New Roman"/>
          <w:sz w:val="28"/>
        </w:rPr>
        <w:t>- Акт проверки (осмотра) запорной арматуры, в том числе в высших (воздушники) и низших точках трубопровода (спускники) и арматуры постоянного регулирования на предмет наличия и работоспособности, плотности (герметичности) сальниковых уплотнений, наличия теплоизоляции в соответствии с проектными решениями, наличия неповрежденных пломб, установленных теплоснабжающими организациями.</w:t>
      </w:r>
    </w:p>
    <w:p w14:paraId="7D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bookmarkStart w:id="22" w:name="P162"/>
      <w:bookmarkEnd w:id="22"/>
      <w:r>
        <w:rPr>
          <w:rFonts w:ascii="Times New Roman" w:hAnsi="Times New Roman"/>
          <w:sz w:val="28"/>
        </w:rPr>
        <w:t>- Организационно-распорядительные документы организации о назначении ответственных лиц за безопасную эксплуатацию тепловых энергоустановок для объектов</w:t>
      </w:r>
      <w:bookmarkStart w:id="23" w:name="P165"/>
      <w:bookmarkEnd w:id="23"/>
    </w:p>
    <w:p w14:paraId="7E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акт состояния тепловых сетей, принадлежащих потребителю тепловой энергии</w:t>
      </w:r>
    </w:p>
    <w:p w14:paraId="7F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акт состояния утепления зданий (чердаки, подвалы, лестничные клетки </w:t>
      </w:r>
      <w:r>
        <w:rPr>
          <w:rFonts w:ascii="Times New Roman" w:hAnsi="Times New Roman"/>
          <w:sz w:val="28"/>
        </w:rPr>
        <w:t>и т.п.) и центральных тепловых пунктов, а также индивидуальных тепловых пунктов.</w:t>
      </w:r>
    </w:p>
    <w:p w14:paraId="80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Акты о проведении испытаний на плотность и прочность (гидравлических испытаний) тепловых энергоустановок, включая трубопроводы тепловых сетей (при наличии) и участков тепловых вводов (до вводной запорной арматуры) в границах балансовой принадлежности, оборудования индивидуальных тепловых пунктов и внутренних систем теплопотребления и наличие записей о результатах проведенных испытаний в паспорте теплового пункта и (или) теплопотребляющих установок.</w:t>
      </w:r>
    </w:p>
    <w:p w14:paraId="81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b w:val="1"/>
          <w:sz w:val="28"/>
        </w:rPr>
      </w:pPr>
      <w:bookmarkStart w:id="24" w:name="P167"/>
      <w:bookmarkEnd w:id="24"/>
      <w:bookmarkStart w:id="25" w:name="P168"/>
      <w:bookmarkEnd w:id="25"/>
      <w:bookmarkStart w:id="26" w:name="P169"/>
      <w:bookmarkEnd w:id="26"/>
      <w:r>
        <w:rPr>
          <w:rFonts w:ascii="Times New Roman" w:hAnsi="Times New Roman"/>
          <w:sz w:val="28"/>
        </w:rPr>
        <w:t>тепловой мощности по состоянию на дату проверки, подтверждающий отсутствие задолженности либо подписанный сторонами документ, подтверждающий урегулирование с теплоснабжающей организацией порядка погашения всей существующей задолженности</w:t>
      </w:r>
    </w:p>
    <w:p w14:paraId="82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b w:val="1"/>
          <w:sz w:val="28"/>
        </w:rPr>
      </w:pPr>
      <w:bookmarkStart w:id="27" w:name="P178"/>
      <w:bookmarkEnd w:id="27"/>
      <w:r>
        <w:rPr>
          <w:rFonts w:ascii="Times New Roman" w:hAnsi="Times New Roman"/>
          <w:sz w:val="28"/>
        </w:rPr>
        <w:t xml:space="preserve">- Акты периодической проверки узла учета, составленные в соответствии с </w:t>
      </w:r>
      <w:r>
        <w:rPr>
          <w:rFonts w:ascii="Times New Roman" w:hAnsi="Times New Roman"/>
          <w:color w:val="0000FF"/>
          <w:sz w:val="28"/>
        </w:rPr>
        <w:fldChar w:fldCharType="begin"/>
      </w:r>
      <w:r>
        <w:rPr>
          <w:rFonts w:ascii="Times New Roman" w:hAnsi="Times New Roman"/>
          <w:color w:val="0000FF"/>
          <w:sz w:val="28"/>
        </w:rPr>
        <w:instrText>HYPERLINK "https://login.consultant.ru/link/?req=doc&amp;base=LAW&amp;n=401404&amp;date=16.04.2025&amp;dst=100197&amp;field=134" \o "Постановление Правительства РФ от 18.11.2013 N 1034 (ред. от 25.11.2021) "О коммерческом учете тепловой энергии, теплоносителя" (вместе с "Правилами коммерческого учета тепловой энергии, теплоносителя") {КонсультантПлюс}"</w:instrText>
      </w:r>
      <w:r>
        <w:rPr>
          <w:rFonts w:ascii="Times New Roman" w:hAnsi="Times New Roman"/>
          <w:color w:val="0000FF"/>
          <w:sz w:val="28"/>
        </w:rPr>
        <w:fldChar w:fldCharType="separate"/>
      </w:r>
      <w:r>
        <w:rPr>
          <w:rFonts w:ascii="Times New Roman" w:hAnsi="Times New Roman"/>
          <w:color w:val="0000FF"/>
          <w:sz w:val="28"/>
        </w:rPr>
        <w:t>пунктом 73</w:t>
      </w:r>
      <w:r>
        <w:rPr>
          <w:rFonts w:ascii="Times New Roman" w:hAnsi="Times New Roman"/>
          <w:color w:val="0000FF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Правил коммерческого учета, акты разграничения балансовой принадлежности</w:t>
      </w:r>
      <w:r>
        <w:rPr>
          <w:rFonts w:ascii="Times New Roman" w:hAnsi="Times New Roman"/>
          <w:b w:val="1"/>
          <w:sz w:val="28"/>
        </w:rPr>
        <w:t>.</w:t>
      </w:r>
    </w:p>
    <w:p w14:paraId="83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bookmarkStart w:id="28" w:name="P179"/>
      <w:bookmarkEnd w:id="28"/>
      <w:r>
        <w:rPr>
          <w:rFonts w:ascii="Times New Roman" w:hAnsi="Times New Roman"/>
          <w:sz w:val="28"/>
        </w:rPr>
        <w:t xml:space="preserve">- Акты проверки контрольно-измерительных приборов в тепловом пункте, с указанием заводских номеров, отметки о наличии паспортов контрольно-измерительных приборов в соответствии с </w:t>
      </w:r>
      <w:r>
        <w:rPr>
          <w:rFonts w:ascii="Times New Roman" w:hAnsi="Times New Roman"/>
          <w:color w:val="0000FF"/>
          <w:sz w:val="28"/>
        </w:rPr>
        <w:fldChar w:fldCharType="begin"/>
      </w:r>
      <w:r>
        <w:rPr>
          <w:rFonts w:ascii="Times New Roman" w:hAnsi="Times New Roman"/>
          <w:color w:val="0000FF"/>
          <w:sz w:val="28"/>
        </w:rPr>
        <w:instrText>HYPERLINK "https://login.consultant.ru/link/?req=doc&amp;base=LAW&amp;n=41812&amp;date=16.04.2025&amp;dst=101920&amp;field=134" \o "Приказ Минэнерго России от 24.03.2003 N 115 "Об утверждении Правил технической эксплуатации тепловых энергоустановок" (Зарегистрировано в Минюсте России 02.04.2003 N 4358) {КонсультантПлюс}"</w:instrText>
      </w:r>
      <w:r>
        <w:rPr>
          <w:rFonts w:ascii="Times New Roman" w:hAnsi="Times New Roman"/>
          <w:color w:val="0000FF"/>
          <w:sz w:val="28"/>
        </w:rPr>
        <w:fldChar w:fldCharType="separate"/>
      </w:r>
      <w:r>
        <w:rPr>
          <w:rFonts w:ascii="Times New Roman" w:hAnsi="Times New Roman"/>
          <w:color w:val="0000FF"/>
          <w:sz w:val="28"/>
        </w:rPr>
        <w:t>пунктом 11.5</w:t>
      </w:r>
      <w:r>
        <w:rPr>
          <w:rFonts w:ascii="Times New Roman" w:hAnsi="Times New Roman"/>
          <w:color w:val="0000FF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Правил технической эксплуатации тепловых энергоустановок, содержащие результаты поверки средств измерений.</w:t>
      </w:r>
    </w:p>
    <w:p w14:paraId="84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bookmarkStart w:id="29" w:name="P180"/>
      <w:bookmarkEnd w:id="29"/>
      <w:r>
        <w:rPr>
          <w:rFonts w:ascii="Times New Roman" w:hAnsi="Times New Roman"/>
          <w:sz w:val="28"/>
        </w:rPr>
        <w:t xml:space="preserve">- Акт выполненных работ по подготовке к отопительному периоду теплового контура здания </w:t>
      </w:r>
      <w:bookmarkStart w:id="30" w:name="P181"/>
      <w:bookmarkEnd w:id="30"/>
    </w:p>
    <w:p w14:paraId="85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- Акты о проведении дезинфекции систем теплопотребления с открытой схемой теплоснабжения и горячего водоснабжения и акты о результатах отбора проб воды из системы на соответствие с </w:t>
      </w:r>
      <w:r>
        <w:rPr>
          <w:rFonts w:ascii="Times New Roman" w:hAnsi="Times New Roman"/>
          <w:color w:val="0000FF"/>
          <w:sz w:val="28"/>
        </w:rPr>
        <w:fldChar w:fldCharType="begin"/>
      </w:r>
      <w:r>
        <w:rPr>
          <w:rFonts w:ascii="Times New Roman" w:hAnsi="Times New Roman"/>
          <w:color w:val="0000FF"/>
          <w:sz w:val="28"/>
        </w:rPr>
        <w:instrText>HYPERLINK "https://login.consultant.ru/link/?req=doc&amp;base=LAW&amp;n=441707&amp;date=16.04.2025&amp;dst=100137&amp;field=134" \o "Постановление Главного государственного санитарного врача РФ от 28.01.2021 N 2 (ред. от 30.12.2022) "Об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ф"</w:instrText>
      </w:r>
      <w:r>
        <w:rPr>
          <w:rFonts w:ascii="Times New Roman" w:hAnsi="Times New Roman"/>
          <w:color w:val="0000FF"/>
          <w:sz w:val="28"/>
        </w:rPr>
        <w:fldChar w:fldCharType="separate"/>
      </w:r>
      <w:r>
        <w:rPr>
          <w:rFonts w:ascii="Times New Roman" w:hAnsi="Times New Roman"/>
          <w:color w:val="0000FF"/>
          <w:sz w:val="28"/>
        </w:rPr>
        <w:t>СанПиН 1.2.3685-21</w:t>
      </w:r>
      <w:r>
        <w:rPr>
          <w:rFonts w:ascii="Times New Roman" w:hAnsi="Times New Roman"/>
          <w:color w:val="0000FF"/>
          <w:sz w:val="28"/>
        </w:rPr>
        <w:fldChar w:fldCharType="end"/>
      </w:r>
      <w:r>
        <w:rPr>
          <w:rFonts w:ascii="Times New Roman" w:hAnsi="Times New Roman"/>
          <w:sz w:val="28"/>
        </w:rPr>
        <w:t>, оформленн</w:t>
      </w:r>
      <w:r>
        <w:rPr>
          <w:rFonts w:ascii="Times New Roman" w:hAnsi="Times New Roman"/>
          <w:sz w:val="28"/>
        </w:rPr>
        <w:t>ые аккредитованной лабораторией</w:t>
      </w:r>
      <w:r>
        <w:rPr>
          <w:rFonts w:ascii="Times New Roman" w:hAnsi="Times New Roman"/>
          <w:b w:val="1"/>
          <w:sz w:val="28"/>
        </w:rPr>
        <w:t>.</w:t>
      </w:r>
    </w:p>
    <w:p w14:paraId="86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bookmarkStart w:id="31" w:name="P185"/>
      <w:bookmarkEnd w:id="31"/>
      <w:bookmarkStart w:id="32" w:name="P186"/>
      <w:bookmarkEnd w:id="32"/>
      <w:bookmarkStart w:id="33" w:name="P142"/>
      <w:bookmarkEnd w:id="33"/>
      <w:r>
        <w:rPr>
          <w:rFonts w:ascii="Times New Roman" w:hAnsi="Times New Roman"/>
          <w:sz w:val="28"/>
        </w:rPr>
        <w:t xml:space="preserve">Оценка обеспечения готовности </w:t>
      </w:r>
      <w:r>
        <w:rPr>
          <w:rFonts w:ascii="Times New Roman" w:hAnsi="Times New Roman"/>
          <w:sz w:val="28"/>
        </w:rPr>
        <w:t>Потребителей тепловой энергии</w:t>
      </w:r>
      <w:r>
        <w:rPr>
          <w:rFonts w:ascii="Times New Roman" w:hAnsi="Times New Roman"/>
          <w:sz w:val="28"/>
        </w:rPr>
        <w:t xml:space="preserve"> проводится в отношении теплопотребляющих установок, инженерных коммуникаций, принадлежащих указанным лицам на праве собственности или ином законном основании за исключением теплопотребляющих установок и инженерных коммуникаций жилых домов (домовладений).</w:t>
      </w:r>
    </w:p>
    <w:p w14:paraId="87000000">
      <w:pPr>
        <w:pStyle w:val="Style_3"/>
        <w:widowControl w:val="1"/>
        <w:spacing w:before="24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Оценка обеспечения готовности </w:t>
      </w:r>
      <w:r>
        <w:rPr>
          <w:rFonts w:ascii="Times New Roman" w:hAnsi="Times New Roman"/>
          <w:sz w:val="28"/>
        </w:rPr>
        <w:t xml:space="preserve">Управляющих организаций, а также товариществ собственников жилья </w:t>
      </w:r>
      <w:r>
        <w:rPr>
          <w:rFonts w:ascii="Times New Roman" w:hAnsi="Times New Roman"/>
          <w:sz w:val="28"/>
        </w:rPr>
        <w:t>проводится в отношении теплопотребляющих установок, инженерных коммуникации и иного общедомового имущества, обслуживающего более одного жилого и (или) нежилого помещения в многоквартирном доме (в том числе котельных, бойлерных, элеваторных узлов), обязанность по содержанию и (или) техническому обслуживанию, и (или) ремонту, и (или) эксплуатации</w:t>
      </w:r>
    </w:p>
    <w:p w14:paraId="88000000">
      <w:pPr>
        <w:pStyle w:val="Style_3"/>
        <w:widowControl w:val="1"/>
        <w:ind w:firstLine="539"/>
        <w:jc w:val="both"/>
        <w:rPr>
          <w:rFonts w:ascii="Times New Roman" w:hAnsi="Times New Roman"/>
          <w:sz w:val="28"/>
        </w:rPr>
      </w:pPr>
    </w:p>
    <w:p w14:paraId="89000000">
      <w:pPr>
        <w:pStyle w:val="Style_3"/>
        <w:widowControl w:val="1"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Оценка готовности рассчитывается по оценочному листу с применением индексов.</w:t>
      </w:r>
    </w:p>
    <w:p w14:paraId="8A000000">
      <w:pPr>
        <w:pStyle w:val="Style_3"/>
        <w:widowControl w:val="1"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Уровень готовности определяется как среднеарифметическое значение индексов готовности объектов оценки обеспечения готовности.</w:t>
      </w:r>
    </w:p>
    <w:p w14:paraId="8B000000">
      <w:pPr>
        <w:pStyle w:val="Style_3"/>
        <w:widowControl w:val="1"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расчета индекса готовности устанавливается:</w:t>
      </w:r>
    </w:p>
    <w:p w14:paraId="8C000000">
      <w:pPr>
        <w:pStyle w:val="Style_3"/>
        <w:widowControl w:val="1"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уровень готовности "Не готов" - если индекс готовности меньше 0,8;</w:t>
      </w:r>
    </w:p>
    <w:p w14:paraId="8D000000">
      <w:pPr>
        <w:pStyle w:val="Style_3"/>
        <w:widowControl w:val="1"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уровень готовности "Готов с условиями" - если индекс готовности меньше 0,9 и больше либо равен 0,8;</w:t>
      </w:r>
    </w:p>
    <w:p w14:paraId="8E000000">
      <w:pPr>
        <w:pStyle w:val="Style_3"/>
        <w:widowControl w:val="1"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уровень готовности "Готов" - если индекс готовности больше либо равен 0,9.</w:t>
      </w:r>
    </w:p>
    <w:p w14:paraId="8F000000">
      <w:pPr>
        <w:pStyle w:val="Style_3"/>
        <w:widowControl w:val="1"/>
        <w:ind w:firstLine="540"/>
        <w:jc w:val="both"/>
      </w:pPr>
    </w:p>
    <w:p w14:paraId="90000000">
      <w:pPr>
        <w:pStyle w:val="Style_3"/>
        <w:widowControl w:val="1"/>
        <w:ind w:firstLine="709"/>
        <w:jc w:val="both"/>
        <w:rPr>
          <w:rFonts w:ascii="Times New Roman" w:hAnsi="Times New Roman"/>
          <w:b w:val="1"/>
          <w:sz w:val="28"/>
        </w:rPr>
      </w:pPr>
      <w:bookmarkStart w:id="34" w:name="P1886"/>
      <w:bookmarkEnd w:id="34"/>
      <w:r>
        <w:rPr>
          <w:rFonts w:ascii="Times New Roman" w:hAnsi="Times New Roman"/>
          <w:sz w:val="28"/>
        </w:rPr>
        <w:t>Оценочный лист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для расчета индекса готовности к отопительному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периоду потребителей тепловой энергии, теплопотребляющие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установки которых подключены (технологически присоединены)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 системе теплоснабжения, приобретающих тепловую энергию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(мощность), теплоноситель для использования на принадлежащих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им на праве собственности или ином законном основании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теплопотребляющих установках, управляющих организаций,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 также товариществ собственников жилья, жилищных, а также лиц, с которыми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соответствии с </w:t>
      </w:r>
      <w:r>
        <w:rPr>
          <w:rFonts w:ascii="Times New Roman" w:hAnsi="Times New Roman"/>
          <w:color w:val="0000FF"/>
          <w:sz w:val="28"/>
        </w:rPr>
        <w:fldChar w:fldCharType="begin"/>
      </w:r>
      <w:r>
        <w:rPr>
          <w:rFonts w:ascii="Times New Roman" w:hAnsi="Times New Roman"/>
          <w:color w:val="0000FF"/>
          <w:sz w:val="28"/>
        </w:rPr>
        <w:instrText>HYPERLINK "https://login.consultant.ru/link/?req=doc&amp;base=LAW&amp;n=493210&amp;date=16.04.2025&amp;dst=444&amp;field=134" \o ""Жилищный кодекс Российской Федерации" от 29.12.2004 N 188-ФЗ (ред. от 03.02.2025) (с изм. и доп., вступ. в силу с 01.03.2025) {КонсультантПлюс}"</w:instrText>
      </w:r>
      <w:r>
        <w:rPr>
          <w:rFonts w:ascii="Times New Roman" w:hAnsi="Times New Roman"/>
          <w:color w:val="0000FF"/>
          <w:sz w:val="28"/>
        </w:rPr>
        <w:fldChar w:fldCharType="separate"/>
      </w:r>
      <w:r>
        <w:rPr>
          <w:rFonts w:ascii="Times New Roman" w:hAnsi="Times New Roman"/>
          <w:color w:val="0000FF"/>
          <w:sz w:val="28"/>
        </w:rPr>
        <w:t>частью 1 статьи 164</w:t>
      </w:r>
      <w:r>
        <w:rPr>
          <w:rFonts w:ascii="Times New Roman" w:hAnsi="Times New Roman"/>
          <w:color w:val="0000FF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Жилищного кодекса</w:t>
      </w:r>
      <w:r>
        <w:rPr>
          <w:rFonts w:ascii="Times New Roman" w:hAnsi="Times New Roman"/>
          <w:sz w:val="28"/>
        </w:rPr>
        <w:t xml:space="preserve"> РФ</w:t>
      </w:r>
      <w:r>
        <w:rPr>
          <w:rFonts w:ascii="Times New Roman" w:hAnsi="Times New Roman"/>
          <w:sz w:val="28"/>
        </w:rPr>
        <w:t xml:space="preserve"> собственниками помещений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многоквартирном доме заключены договоры оказания услуг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 содержанию и (или) выполнению работ по ремонту общего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имущества в целях надлежащего содержания и (или) ремонта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внутридомовой системы отопления в многоквартирном доме,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или председателя совета многоквартирного дома в случае,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если собственниками помещений в многоквартирном доме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не принято решение о заключении таких договоров,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или муниципальными образованиями в случае,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если способ управления многоквартирным домом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не выбран или выбранный способ управления </w:t>
      </w:r>
      <w:r>
        <w:rPr>
          <w:rFonts w:ascii="Times New Roman" w:hAnsi="Times New Roman"/>
          <w:b w:val="1"/>
          <w:sz w:val="28"/>
        </w:rPr>
        <w:t>оформляется по рекомендуемому образцу</w:t>
      </w:r>
      <w:r>
        <w:rPr>
          <w:rFonts w:ascii="Times New Roman" w:hAnsi="Times New Roman"/>
          <w:b w:val="1"/>
          <w:sz w:val="28"/>
        </w:rPr>
        <w:t>,</w:t>
      </w:r>
      <w:r>
        <w:rPr>
          <w:rFonts w:ascii="Times New Roman" w:hAnsi="Times New Roman"/>
          <w:b w:val="1"/>
          <w:sz w:val="28"/>
        </w:rPr>
        <w:t xml:space="preserve"> представленному в </w:t>
      </w:r>
      <w:r>
        <w:rPr>
          <w:rFonts w:ascii="Times New Roman" w:hAnsi="Times New Roman"/>
          <w:b w:val="1"/>
          <w:sz w:val="28"/>
        </w:rPr>
        <w:t>Приложение N 4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к Порядку проведения оценки обеспечения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готовности к отопительному периоду,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утвержденному приказом Минэнерго России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от 13 ноября 2024 г. N 2234</w:t>
      </w:r>
      <w:r>
        <w:rPr>
          <w:rFonts w:ascii="Times New Roman" w:hAnsi="Times New Roman"/>
          <w:b w:val="1"/>
          <w:sz w:val="28"/>
        </w:rPr>
        <w:t>.</w:t>
      </w:r>
    </w:p>
    <w:p w14:paraId="91000000">
      <w:pPr>
        <w:pStyle w:val="Style_3"/>
        <w:widowControl w:val="1"/>
        <w:ind/>
        <w:jc w:val="right"/>
        <w:outlineLvl w:val="1"/>
      </w:pPr>
    </w:p>
    <w:p w14:paraId="92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Оценочный лист для расчета индекса готовности к отопительному периоду теплоснабжающих, теплосетевых организаций оформляется по рекомендуемому образцу, представленному в </w:t>
      </w:r>
      <w:r>
        <w:rPr>
          <w:rFonts w:ascii="Times New Roman" w:hAnsi="Times New Roman"/>
          <w:b w:val="1"/>
          <w:sz w:val="28"/>
        </w:rPr>
        <w:t>Приложение N 2</w:t>
      </w:r>
      <w:r>
        <w:rPr>
          <w:rFonts w:ascii="Times New Roman" w:hAnsi="Times New Roman"/>
          <w:sz w:val="28"/>
        </w:rPr>
        <w:t xml:space="preserve"> к Порядку проведения оценки обеспечения готовности к отопительному периоду, утвержденному приказом Минэнерго России от 13 ноября 2024 г. N 2234</w:t>
      </w:r>
      <w:r>
        <w:rPr>
          <w:rFonts w:ascii="Times New Roman" w:hAnsi="Times New Roman"/>
          <w:sz w:val="28"/>
        </w:rPr>
        <w:t>.</w:t>
      </w:r>
    </w:p>
    <w:p w14:paraId="93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</w:p>
    <w:p w14:paraId="94000000">
      <w:pPr>
        <w:pStyle w:val="Style_4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Результаты </w:t>
      </w:r>
      <w:r>
        <w:rPr>
          <w:rFonts w:ascii="Times New Roman" w:hAnsi="Times New Roman"/>
          <w:sz w:val="28"/>
        </w:rPr>
        <w:t>оценки готовности</w:t>
      </w:r>
      <w:r>
        <w:rPr>
          <w:rFonts w:ascii="Times New Roman" w:hAnsi="Times New Roman"/>
          <w:sz w:val="28"/>
        </w:rPr>
        <w:t xml:space="preserve"> оформляются актом </w:t>
      </w:r>
      <w:r>
        <w:rPr>
          <w:rFonts w:ascii="Times New Roman" w:hAnsi="Times New Roman"/>
          <w:sz w:val="28"/>
        </w:rPr>
        <w:t>оценки</w:t>
      </w:r>
      <w:r>
        <w:rPr>
          <w:rFonts w:ascii="Times New Roman" w:hAnsi="Times New Roman"/>
          <w:sz w:val="28"/>
        </w:rPr>
        <w:t xml:space="preserve"> готовности к отопительному периоду (далее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акт), который составляется не позднее одного дня с даты завершения проверки, по рекомендуемому образцу согласно приложению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>1 к программе</w:t>
      </w:r>
      <w:r>
        <w:rPr>
          <w:rFonts w:ascii="Times New Roman" w:hAnsi="Times New Roman"/>
          <w:sz w:val="28"/>
        </w:rPr>
        <w:t xml:space="preserve"> с приложением оценочного листа  для расчета индекса готовности к  отопительному периоду</w:t>
      </w:r>
    </w:p>
    <w:p w14:paraId="95000000">
      <w:pPr>
        <w:widowControl w:val="1"/>
        <w:tabs>
          <w:tab w:leader="none" w:pos="0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При наличии у комиссии замечаний к выполнению требований по готовности или при невыполнении требований по готовности к акту </w:t>
      </w:r>
      <w:r>
        <w:rPr>
          <w:sz w:val="28"/>
        </w:rPr>
        <w:t>прилагается перечень замечаний (далее – перечень) с указанием сроков их устранения.</w:t>
      </w:r>
    </w:p>
    <w:p w14:paraId="96000000">
      <w:pPr>
        <w:widowControl w:val="1"/>
        <w:tabs>
          <w:tab w:leader="none" w:pos="0" w:val="left"/>
        </w:tabs>
        <w:ind w:firstLine="709"/>
        <w:jc w:val="both"/>
        <w:rPr>
          <w:sz w:val="28"/>
        </w:rPr>
      </w:pPr>
      <w:r>
        <w:rPr>
          <w:sz w:val="28"/>
        </w:rPr>
        <w:t>Паспорт готовности к отопительному периоду (далее</w:t>
      </w:r>
      <w:r>
        <w:rPr>
          <w:sz w:val="28"/>
        </w:rPr>
        <w:t xml:space="preserve"> </w:t>
      </w: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 xml:space="preserve">паспорт) составляется по рекомендуемому образцу, согласно приложения </w:t>
      </w:r>
      <w:r>
        <w:rPr>
          <w:sz w:val="28"/>
        </w:rPr>
        <w:t>№</w:t>
      </w:r>
      <w:r>
        <w:rPr>
          <w:sz w:val="28"/>
        </w:rPr>
        <w:t>2 к программе и выдается органом местного самоуправления, образовавшим комиссию,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</w:p>
    <w:p w14:paraId="97000000">
      <w:pPr>
        <w:widowControl w:val="1"/>
        <w:tabs>
          <w:tab w:leader="none" w:pos="0" w:val="left"/>
        </w:tabs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Сроки выдачи паспортов: не позднее 15 сентября – для потребителей тепловой энергии, не позднее 1 ноября – для теплоснабжающей организации.</w:t>
      </w:r>
    </w:p>
    <w:p w14:paraId="98000000">
      <w:pPr>
        <w:widowControl w:val="1"/>
        <w:tabs>
          <w:tab w:leader="none" w:pos="0" w:val="left"/>
        </w:tabs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В случае устранения указанных в перечне замечаний к выполнению (невыполнению) требований по готовности в сроки, установленные в графике проведения проверок готовности к отопительному периоду, комиссией проводится повторная проверка, по результатам которой составляется новый акт.</w:t>
      </w:r>
    </w:p>
    <w:p w14:paraId="99000000">
      <w:pPr>
        <w:widowControl w:val="1"/>
        <w:tabs>
          <w:tab w:leader="none" w:pos="0" w:val="left"/>
        </w:tabs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Организация, не получившая по объектам проверки паспорт готовности до даты,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14:paraId="9A000000">
      <w:pPr>
        <w:widowControl w:val="1"/>
        <w:tabs>
          <w:tab w:leader="none" w:pos="0" w:val="left"/>
        </w:tabs>
        <w:ind/>
        <w:jc w:val="both"/>
        <w:rPr>
          <w:sz w:val="28"/>
        </w:rPr>
      </w:pPr>
      <w:r>
        <w:rPr>
          <w:sz w:val="28"/>
        </w:rPr>
        <w:t xml:space="preserve"> </w:t>
      </w:r>
    </w:p>
    <w:p w14:paraId="9B000000">
      <w:pPr>
        <w:widowControl w:val="1"/>
        <w:tabs>
          <w:tab w:leader="none" w:pos="0" w:val="left"/>
        </w:tabs>
        <w:ind/>
        <w:jc w:val="both"/>
        <w:rPr>
          <w:sz w:val="28"/>
        </w:rPr>
      </w:pPr>
    </w:p>
    <w:p w14:paraId="9C000000">
      <w:pPr>
        <w:widowControl w:val="1"/>
        <w:tabs>
          <w:tab w:leader="none" w:pos="0" w:val="left"/>
        </w:tabs>
        <w:ind/>
        <w:jc w:val="both"/>
        <w:rPr>
          <w:sz w:val="28"/>
        </w:rPr>
      </w:pPr>
    </w:p>
    <w:p w14:paraId="9D000000">
      <w:pPr>
        <w:widowControl w:val="1"/>
        <w:tabs>
          <w:tab w:leader="none" w:pos="0" w:val="left"/>
        </w:tabs>
        <w:ind/>
        <w:jc w:val="both"/>
        <w:rPr>
          <w:sz w:val="28"/>
        </w:rPr>
      </w:pPr>
    </w:p>
    <w:p w14:paraId="9E000000">
      <w:pPr>
        <w:widowControl w:val="1"/>
        <w:tabs>
          <w:tab w:leader="none" w:pos="0" w:val="left"/>
        </w:tabs>
        <w:ind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 xml:space="preserve"> </w:t>
      </w:r>
      <w:r>
        <w:rPr>
          <w:sz w:val="28"/>
        </w:rPr>
        <w:t xml:space="preserve"> </w:t>
      </w:r>
    </w:p>
    <w:tbl>
      <w:tblPr>
        <w:tblStyle w:val="Style_1"/>
        <w:tblW w:type="auto" w:w="0"/>
        <w:tblLayout w:type="fixed"/>
      </w:tblPr>
      <w:tblGrid>
        <w:gridCol w:w="5778"/>
        <w:gridCol w:w="3686"/>
      </w:tblGrid>
      <w:tr>
        <w:tc>
          <w:tcPr>
            <w:tcW w:type="dxa" w:w="5778"/>
            <w:shd w:fill="auto" w:val="clear"/>
          </w:tcPr>
          <w:p w14:paraId="9F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Первый заместитель г</w:t>
            </w:r>
            <w:r>
              <w:rPr>
                <w:sz w:val="28"/>
              </w:rPr>
              <w:t>лав</w:t>
            </w:r>
            <w:r>
              <w:rPr>
                <w:sz w:val="28"/>
              </w:rPr>
              <w:t>ы</w:t>
            </w:r>
          </w:p>
        </w:tc>
        <w:tc>
          <w:tcPr>
            <w:tcW w:type="dxa" w:w="3686"/>
            <w:shd w:fill="auto" w:val="clear"/>
          </w:tcPr>
          <w:p w14:paraId="A0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rPr>
          <w:trHeight w:hRule="atLeast" w:val="1381"/>
        </w:trPr>
        <w:tc>
          <w:tcPr>
            <w:tcW w:type="dxa" w:w="5778"/>
            <w:shd w:fill="auto" w:val="clear"/>
          </w:tcPr>
          <w:p w14:paraId="A1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Крапивинского муниципального </w:t>
            </w:r>
            <w:r>
              <w:rPr>
                <w:sz w:val="28"/>
              </w:rPr>
              <w:t>округ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 xml:space="preserve">  </w:t>
            </w:r>
            <w:r>
              <w:rPr>
                <w:sz w:val="28"/>
              </w:rPr>
              <w:t>(по жилищно-коммунальному хозяйству,</w:t>
            </w:r>
          </w:p>
          <w:p w14:paraId="A2000000">
            <w:pPr>
              <w:widowControl w:val="1"/>
              <w:ind/>
              <w:jc w:val="center"/>
            </w:pPr>
            <w:r>
              <w:rPr>
                <w:sz w:val="28"/>
              </w:rPr>
              <w:t>капитальному строительству и дорожному хозяйству)</w:t>
            </w:r>
          </w:p>
        </w:tc>
        <w:tc>
          <w:tcPr>
            <w:tcW w:type="dxa" w:w="3686"/>
            <w:shd w:fill="auto" w:val="clear"/>
          </w:tcPr>
          <w:p w14:paraId="A3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    </w:t>
            </w:r>
          </w:p>
          <w:p w14:paraId="A4000000">
            <w:pPr>
              <w:widowControl w:val="1"/>
              <w:ind/>
              <w:jc w:val="both"/>
              <w:rPr>
                <w:sz w:val="28"/>
              </w:rPr>
            </w:pPr>
          </w:p>
          <w:p w14:paraId="A5000000">
            <w:pPr>
              <w:widowControl w:val="1"/>
              <w:ind/>
              <w:jc w:val="both"/>
              <w:rPr>
                <w:sz w:val="28"/>
              </w:rPr>
            </w:pPr>
          </w:p>
          <w:p w14:paraId="A6000000">
            <w:pPr>
              <w:widowControl w:val="1"/>
              <w:ind/>
              <w:jc w:val="right"/>
              <w:rPr>
                <w:sz w:val="28"/>
              </w:rPr>
            </w:pPr>
            <w:r>
              <w:rPr>
                <w:sz w:val="28"/>
              </w:rPr>
              <w:t xml:space="preserve"> Н.Ф. Арнольд</w:t>
            </w:r>
          </w:p>
        </w:tc>
      </w:tr>
    </w:tbl>
    <w:p w14:paraId="A7000000">
      <w:pPr>
        <w:widowControl w:val="1"/>
        <w:tabs>
          <w:tab w:leader="none" w:pos="0" w:val="left"/>
        </w:tabs>
        <w:ind/>
        <w:jc w:val="both"/>
        <w:rPr>
          <w:sz w:val="28"/>
        </w:rPr>
      </w:pPr>
      <w:r>
        <w:rPr>
          <w:sz w:val="28"/>
        </w:rPr>
        <w:tab/>
      </w:r>
    </w:p>
    <w:p w14:paraId="A8000000">
      <w:pPr>
        <w:widowControl w:val="1"/>
        <w:tabs>
          <w:tab w:leader="none" w:pos="5250" w:val="left"/>
        </w:tabs>
        <w:ind/>
        <w:jc w:val="both"/>
        <w:rPr>
          <w:sz w:val="28"/>
        </w:rPr>
      </w:pPr>
      <w:r>
        <w:rPr>
          <w:sz w:val="28"/>
        </w:rPr>
        <w:tab/>
      </w:r>
    </w:p>
    <w:p w14:paraId="A900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</w:p>
    <w:p w14:paraId="AA00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</w:p>
    <w:p w14:paraId="AB00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</w:p>
    <w:p w14:paraId="AC00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</w:p>
    <w:p w14:paraId="AD00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</w:p>
    <w:p w14:paraId="AE00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</w:p>
    <w:p w14:paraId="AF00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</w:p>
    <w:p w14:paraId="B000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</w:p>
    <w:p w14:paraId="B100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</w:p>
    <w:p w14:paraId="B200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  <w:r>
        <w:rPr>
          <w:sz w:val="24"/>
        </w:rPr>
        <w:t xml:space="preserve">Приложение №1 к программе проведения </w:t>
      </w:r>
    </w:p>
    <w:p w14:paraId="B300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  <w:r>
        <w:rPr>
          <w:sz w:val="24"/>
        </w:rPr>
        <w:t xml:space="preserve">проверки готовности объектов </w:t>
      </w:r>
    </w:p>
    <w:p w14:paraId="B400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  <w:r>
        <w:rPr>
          <w:sz w:val="24"/>
        </w:rPr>
        <w:t xml:space="preserve">жизнеобеспечения к отопительному </w:t>
      </w:r>
    </w:p>
    <w:p w14:paraId="B500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  <w:r>
        <w:rPr>
          <w:sz w:val="24"/>
        </w:rPr>
        <w:t>периоду 202</w:t>
      </w:r>
      <w:r>
        <w:rPr>
          <w:sz w:val="24"/>
        </w:rPr>
        <w:t>6</w:t>
      </w:r>
      <w:r>
        <w:rPr>
          <w:sz w:val="24"/>
        </w:rPr>
        <w:t>/202</w:t>
      </w:r>
      <w:r>
        <w:rPr>
          <w:sz w:val="24"/>
        </w:rPr>
        <w:t>7</w:t>
      </w:r>
      <w:r>
        <w:rPr>
          <w:sz w:val="24"/>
        </w:rPr>
        <w:t>гг</w:t>
      </w:r>
    </w:p>
    <w:p w14:paraId="B600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</w:p>
    <w:p w14:paraId="B700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</w:p>
    <w:p w14:paraId="B8000000">
      <w:pPr>
        <w:pStyle w:val="Style_4"/>
        <w:widowControl w:val="1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АКТ</w:t>
      </w:r>
    </w:p>
    <w:p w14:paraId="B9000000">
      <w:pPr>
        <w:pStyle w:val="Style_4"/>
        <w:widowControl w:val="1"/>
        <w:ind/>
        <w:jc w:val="center"/>
        <w:rPr>
          <w:rFonts w:ascii="Times New Roman" w:hAnsi="Times New Roman"/>
        </w:rPr>
      </w:pPr>
    </w:p>
    <w:p w14:paraId="BA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оценки обеспечения готовности к отопительному периоду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____/____ гг.</w:t>
      </w:r>
    </w:p>
    <w:p w14:paraId="BB000000">
      <w:pPr>
        <w:pStyle w:val="Style_4"/>
        <w:widowControl w:val="1"/>
        <w:ind/>
        <w:jc w:val="both"/>
        <w:rPr>
          <w:rFonts w:ascii="Times New Roman" w:hAnsi="Times New Roman"/>
        </w:rPr>
      </w:pPr>
    </w:p>
    <w:p w14:paraId="BC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             "__" __________ 20__ г.</w:t>
      </w:r>
    </w:p>
    <w:p w14:paraId="BD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(место составления акта)                    (дата составления акта)</w:t>
      </w:r>
    </w:p>
    <w:p w14:paraId="BE000000">
      <w:pPr>
        <w:pStyle w:val="Style_4"/>
        <w:widowControl w:val="1"/>
        <w:ind/>
        <w:jc w:val="both"/>
        <w:rPr>
          <w:rFonts w:ascii="Times New Roman" w:hAnsi="Times New Roman"/>
        </w:rPr>
      </w:pPr>
    </w:p>
    <w:p w14:paraId="BF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Комиссия, образованная _______________________________________________,</w:t>
      </w:r>
    </w:p>
    <w:p w14:paraId="C0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(форма документа и его реквизиты, которым образована комиссия)</w:t>
      </w:r>
    </w:p>
    <w:p w14:paraId="C1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в соответствии с программой проведения  оценки обеспечения готовности к</w:t>
      </w:r>
    </w:p>
    <w:p w14:paraId="C2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отопительному периоду от "__" ______ 20__ г., утвержденной</w:t>
      </w:r>
    </w:p>
    <w:p w14:paraId="C3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______________________________________________________________________,</w:t>
      </w:r>
    </w:p>
    <w:p w14:paraId="C4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(Фамилия,   инициалы  руководителя  (его  заместителя)  уполномоченного</w:t>
      </w:r>
    </w:p>
    <w:p w14:paraId="C5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органа, проводящего оценку обеспечения готовности к отопительному периоду)</w:t>
      </w:r>
    </w:p>
    <w:p w14:paraId="C6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с  "__" ______ 20__ г.  по "__" ______ 20__ г. в соответствии с</w:t>
      </w:r>
    </w:p>
    <w:p w14:paraId="C7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Федеральным </w:t>
      </w:r>
      <w:r>
        <w:rPr>
          <w:rFonts w:ascii="Times New Roman" w:hAnsi="Times New Roman"/>
          <w:color w:val="0000FF"/>
        </w:rPr>
        <w:fldChar w:fldCharType="begin"/>
      </w:r>
      <w:r>
        <w:rPr>
          <w:rFonts w:ascii="Times New Roman" w:hAnsi="Times New Roman"/>
          <w:color w:val="0000FF"/>
        </w:rPr>
        <w:instrText>HYPERLINK "https://login.consultant.ru/link/?req=doc&amp;base=LAW&amp;n=483239&amp;date=16.04.2025" \o "Федеральный закон от 27.07.2010 N 190-ФЗ (ред. от 08.08.2024) "О теплоснабжении" (с изм. и доп., вступ. в силу с 01.03.2025) {КонсультантПлюс}"</w:instrText>
      </w:r>
      <w:r>
        <w:rPr>
          <w:rFonts w:ascii="Times New Roman" w:hAnsi="Times New Roman"/>
          <w:color w:val="0000FF"/>
        </w:rPr>
        <w:fldChar w:fldCharType="separate"/>
      </w:r>
      <w:r>
        <w:rPr>
          <w:rFonts w:ascii="Times New Roman" w:hAnsi="Times New Roman"/>
          <w:color w:val="0000FF"/>
        </w:rPr>
        <w:t>законом</w:t>
      </w:r>
      <w:r>
        <w:rPr>
          <w:rFonts w:ascii="Times New Roman" w:hAnsi="Times New Roman"/>
          <w:color w:val="0000FF"/>
        </w:rPr>
        <w:fldChar w:fldCharType="end"/>
      </w:r>
      <w:r>
        <w:rPr>
          <w:rFonts w:ascii="Times New Roman" w:hAnsi="Times New Roman"/>
        </w:rPr>
        <w:t xml:space="preserve"> от 27 июля 2010 г. N 190-ФЗ "О теплоснабжении"</w:t>
      </w:r>
    </w:p>
    <w:p w14:paraId="C8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провела оценку обеспечения готовности к отопительному периоду</w:t>
      </w:r>
    </w:p>
    <w:p w14:paraId="C9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</w:t>
      </w:r>
    </w:p>
    <w:p w14:paraId="CA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(наименование лица, подлежащего оценке обеспечения готовности)</w:t>
      </w:r>
    </w:p>
    <w:p w14:paraId="CB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Оценка  обеспечения  готовности  к  отопительному периоду проводилась в</w:t>
      </w:r>
    </w:p>
    <w:p w14:paraId="CC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отношении следующих объектов оценки обеспечения готовности:</w:t>
      </w:r>
    </w:p>
    <w:p w14:paraId="CD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1. ________________________;</w:t>
      </w:r>
    </w:p>
    <w:p w14:paraId="CE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2. ________________________;</w:t>
      </w:r>
    </w:p>
    <w:p w14:paraId="CF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3. ________________________;</w:t>
      </w:r>
    </w:p>
    <w:p w14:paraId="D0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NN ________________________.</w:t>
      </w:r>
    </w:p>
    <w:p w14:paraId="D1000000">
      <w:pPr>
        <w:pStyle w:val="Style_4"/>
        <w:widowControl w:val="1"/>
        <w:ind/>
        <w:jc w:val="both"/>
        <w:rPr>
          <w:rFonts w:ascii="Times New Roman" w:hAnsi="Times New Roman"/>
        </w:rPr>
      </w:pPr>
    </w:p>
    <w:p w14:paraId="D2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В ходе проведения оценки обеспечения готовности к отопительному периоду</w:t>
      </w:r>
    </w:p>
    <w:p w14:paraId="D3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комиссия установила:</w:t>
      </w:r>
    </w:p>
    <w:p w14:paraId="D4000000">
      <w:pPr>
        <w:pStyle w:val="Style_4"/>
        <w:widowControl w:val="1"/>
        <w:ind/>
        <w:jc w:val="both"/>
        <w:rPr>
          <w:rFonts w:ascii="Times New Roman" w:hAnsi="Times New Roman"/>
        </w:rPr>
      </w:pPr>
    </w:p>
    <w:p w14:paraId="D5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1. Уровни готовности объектов оценки обеспечения готовности:</w:t>
      </w:r>
    </w:p>
    <w:p w14:paraId="D6000000">
      <w:pPr>
        <w:pStyle w:val="Style_3"/>
        <w:widowControl w:val="1"/>
        <w:ind w:firstLine="540"/>
        <w:jc w:val="both"/>
        <w:rPr>
          <w:rFonts w:ascii="Times New Roman" w:hAnsi="Times New Roman"/>
        </w:rPr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649"/>
        <w:gridCol w:w="4421"/>
      </w:tblGrid>
      <w:tr>
        <w:tc>
          <w:tcPr>
            <w:tcW w:type="dxa" w:w="4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7000000">
            <w:pPr>
              <w:pStyle w:val="Style_3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Объект оценки обеспечения готовности</w:t>
            </w:r>
          </w:p>
        </w:tc>
        <w:tc>
          <w:tcPr>
            <w:tcW w:type="dxa" w:w="44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8000000">
            <w:pPr>
              <w:pStyle w:val="Style_3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готовности</w:t>
            </w:r>
          </w:p>
          <w:p w14:paraId="D9000000">
            <w:pPr>
              <w:pStyle w:val="Style_3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(Готов/готов с условиями/не готов)</w:t>
            </w:r>
          </w:p>
        </w:tc>
      </w:tr>
      <w:tr>
        <w:tc>
          <w:tcPr>
            <w:tcW w:type="dxa" w:w="4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A000000">
            <w:pPr>
              <w:pStyle w:val="Style_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type="dxa" w:w="44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B000000">
            <w:pPr>
              <w:pStyle w:val="Style_3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C000000">
            <w:pPr>
              <w:pStyle w:val="Style_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type="dxa" w:w="44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D000000">
            <w:pPr>
              <w:pStyle w:val="Style_3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E000000">
            <w:pPr>
              <w:pStyle w:val="Style_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type="dxa" w:w="44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F000000">
            <w:pPr>
              <w:pStyle w:val="Style_3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0000000">
            <w:pPr>
              <w:pStyle w:val="Style_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NN</w:t>
            </w:r>
          </w:p>
        </w:tc>
        <w:tc>
          <w:tcPr>
            <w:tcW w:type="dxa" w:w="44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1000000">
            <w:pPr>
              <w:pStyle w:val="Style_3"/>
              <w:rPr>
                <w:rFonts w:ascii="Times New Roman" w:hAnsi="Times New Roman"/>
              </w:rPr>
            </w:pPr>
          </w:p>
        </w:tc>
      </w:tr>
    </w:tbl>
    <w:p w14:paraId="E2000000">
      <w:pPr>
        <w:pStyle w:val="Style_3"/>
        <w:widowControl w:val="1"/>
        <w:ind w:firstLine="540"/>
        <w:jc w:val="both"/>
        <w:rPr>
          <w:rFonts w:ascii="Times New Roman" w:hAnsi="Times New Roman"/>
        </w:rPr>
      </w:pPr>
    </w:p>
    <w:p w14:paraId="E3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2. Уровень готовности лица, подлежащего оценке обеспечения готовности:</w:t>
      </w:r>
    </w:p>
    <w:p w14:paraId="E4000000">
      <w:pPr>
        <w:pStyle w:val="Style_3"/>
        <w:widowControl w:val="1"/>
        <w:ind w:firstLine="540"/>
        <w:jc w:val="both"/>
        <w:rPr>
          <w:rFonts w:ascii="Times New Roman" w:hAnsi="Times New Roman"/>
        </w:rPr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649"/>
        <w:gridCol w:w="4421"/>
      </w:tblGrid>
      <w:tr>
        <w:tc>
          <w:tcPr>
            <w:tcW w:type="dxa" w:w="4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5000000">
            <w:pPr>
              <w:pStyle w:val="Style_3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Лицо, подлежащее оценке обеспечения готовности</w:t>
            </w:r>
          </w:p>
        </w:tc>
        <w:tc>
          <w:tcPr>
            <w:tcW w:type="dxa" w:w="44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6000000">
            <w:pPr>
              <w:pStyle w:val="Style_3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готовности</w:t>
            </w:r>
          </w:p>
          <w:p w14:paraId="E7000000">
            <w:pPr>
              <w:pStyle w:val="Style_3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(Готов/готов с условиями/не готов)</w:t>
            </w:r>
          </w:p>
        </w:tc>
      </w:tr>
      <w:tr>
        <w:tc>
          <w:tcPr>
            <w:tcW w:type="dxa" w:w="4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8000000">
            <w:pPr>
              <w:pStyle w:val="Style_3"/>
              <w:rPr>
                <w:rFonts w:ascii="Times New Roman" w:hAnsi="Times New Roman"/>
              </w:rPr>
            </w:pPr>
          </w:p>
        </w:tc>
        <w:tc>
          <w:tcPr>
            <w:tcW w:type="dxa" w:w="44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9000000">
            <w:pPr>
              <w:pStyle w:val="Style_3"/>
              <w:rPr>
                <w:rFonts w:ascii="Times New Roman" w:hAnsi="Times New Roman"/>
              </w:rPr>
            </w:pPr>
          </w:p>
        </w:tc>
      </w:tr>
    </w:tbl>
    <w:p w14:paraId="EA000000">
      <w:pPr>
        <w:pStyle w:val="Style_3"/>
        <w:widowControl w:val="1"/>
        <w:ind w:firstLine="540"/>
        <w:jc w:val="both"/>
        <w:rPr>
          <w:rFonts w:ascii="Times New Roman" w:hAnsi="Times New Roman"/>
        </w:rPr>
      </w:pPr>
    </w:p>
    <w:p w14:paraId="EB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Приложение: 1. Оценочный лист для расчета индекса готовности к</w:t>
      </w:r>
    </w:p>
    <w:p w14:paraId="EC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отопительному периоду ___________________ на __ л. в 1 экз.</w:t>
      </w:r>
    </w:p>
    <w:p w14:paraId="ED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(объект оценки обеспечения готовности)</w:t>
      </w:r>
    </w:p>
    <w:p w14:paraId="EE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2. Оценочный лист для расчета индекса готовности к</w:t>
      </w:r>
    </w:p>
    <w:p w14:paraId="EF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отопительному периоду ___________________ на __ л. в 1 экз.</w:t>
      </w:r>
    </w:p>
    <w:p w14:paraId="F0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(объект оценки обеспечения готовности)</w:t>
      </w:r>
    </w:p>
    <w:p w14:paraId="F1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3. Оценочный лист для расчета индекса готовности к</w:t>
      </w:r>
    </w:p>
    <w:p w14:paraId="F2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отопительному периоду ___________________ на __ л. в 1 экз.</w:t>
      </w:r>
    </w:p>
    <w:p w14:paraId="F3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(объект оценки обеспечения готовности)</w:t>
      </w:r>
    </w:p>
    <w:p w14:paraId="F4000000">
      <w:pPr>
        <w:pStyle w:val="Style_4"/>
        <w:widowControl w:val="1"/>
        <w:ind/>
        <w:jc w:val="both"/>
        <w:rPr>
          <w:rFonts w:ascii="Times New Roman" w:hAnsi="Times New Roman"/>
        </w:rPr>
      </w:pPr>
    </w:p>
    <w:p w14:paraId="F5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комиссии: ____________________________________________________</w:t>
      </w:r>
    </w:p>
    <w:p w14:paraId="F6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(подпись, расшифровка подписи)</w:t>
      </w:r>
    </w:p>
    <w:p w14:paraId="F7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Заместитель председателя</w:t>
      </w:r>
    </w:p>
    <w:p w14:paraId="F8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комиссии: _________________________________________________________________</w:t>
      </w:r>
    </w:p>
    <w:p w14:paraId="F9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(подпись, расшифровка подписи)</w:t>
      </w:r>
    </w:p>
    <w:p w14:paraId="FA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Члены комиссии: ___________________________________________________________</w:t>
      </w:r>
    </w:p>
    <w:p w14:paraId="FB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(подпись, расшифровка подписи)</w:t>
      </w:r>
    </w:p>
    <w:p w14:paraId="FC000000">
      <w:pPr>
        <w:pStyle w:val="Style_4"/>
        <w:widowControl w:val="1"/>
        <w:ind/>
        <w:jc w:val="both"/>
        <w:rPr>
          <w:rFonts w:ascii="Times New Roman" w:hAnsi="Times New Roman"/>
        </w:rPr>
      </w:pPr>
    </w:p>
    <w:p w14:paraId="FD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С  актами оценки обеспечения готовности ознакомлен, один экземпляр акта</w:t>
      </w:r>
    </w:p>
    <w:p w14:paraId="FE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получил:</w:t>
      </w:r>
    </w:p>
    <w:p w14:paraId="FF00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"__" ___________ 20__ г. ______________________________________________</w:t>
      </w:r>
    </w:p>
    <w:p w14:paraId="0001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(подпись, расшифровка подписи</w:t>
      </w:r>
    </w:p>
    <w:p w14:paraId="0101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руководителя (его уполномоченного</w:t>
      </w:r>
    </w:p>
    <w:p w14:paraId="0201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представителя) в отношении которого</w:t>
      </w:r>
    </w:p>
    <w:p w14:paraId="0301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проводилась оценка обеспечения готовности к</w:t>
      </w:r>
    </w:p>
    <w:p w14:paraId="04010000">
      <w:pPr>
        <w:pStyle w:val="Style_4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отопительному периоду)</w:t>
      </w:r>
    </w:p>
    <w:p w14:paraId="05010000">
      <w:pPr>
        <w:pStyle w:val="Style_3"/>
        <w:widowControl w:val="1"/>
        <w:ind w:firstLine="540"/>
        <w:jc w:val="both"/>
        <w:rPr>
          <w:rFonts w:ascii="Times New Roman" w:hAnsi="Times New Roman"/>
        </w:rPr>
      </w:pPr>
    </w:p>
    <w:p w14:paraId="06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07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08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09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0A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0B010000">
      <w:pPr>
        <w:widowControl w:val="1"/>
        <w:tabs>
          <w:tab w:leader="none" w:pos="5250" w:val="left"/>
        </w:tabs>
        <w:ind w:left="360"/>
        <w:jc w:val="both"/>
        <w:rPr>
          <w:sz w:val="24"/>
        </w:rPr>
      </w:pPr>
    </w:p>
    <w:p w14:paraId="0C010000">
      <w:pPr>
        <w:widowControl w:val="1"/>
        <w:tabs>
          <w:tab w:leader="none" w:pos="5250" w:val="left"/>
        </w:tabs>
        <w:ind w:left="360"/>
        <w:jc w:val="both"/>
        <w:rPr>
          <w:sz w:val="24"/>
        </w:rPr>
      </w:pPr>
    </w:p>
    <w:p w14:paraId="0D01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</w:p>
    <w:p w14:paraId="0E010000">
      <w:pPr>
        <w:widowControl w:val="1"/>
        <w:ind w:hanging="7020" w:left="7020" w:right="-5"/>
        <w:jc w:val="right"/>
        <w:rPr>
          <w:sz w:val="28"/>
        </w:rPr>
      </w:pPr>
      <w:r>
        <w:rPr>
          <w:sz w:val="28"/>
        </w:rPr>
        <w:t xml:space="preserve">                                              </w:t>
      </w:r>
    </w:p>
    <w:p w14:paraId="0F010000">
      <w:pPr>
        <w:widowControl w:val="1"/>
        <w:ind w:hanging="7020" w:left="7020" w:right="-5"/>
        <w:jc w:val="right"/>
        <w:rPr>
          <w:sz w:val="28"/>
        </w:rPr>
      </w:pPr>
    </w:p>
    <w:p w14:paraId="10010000">
      <w:pPr>
        <w:widowControl w:val="1"/>
        <w:ind w:hanging="7020" w:left="7020" w:right="-5"/>
        <w:jc w:val="right"/>
        <w:rPr>
          <w:sz w:val="28"/>
        </w:rPr>
      </w:pPr>
    </w:p>
    <w:p w14:paraId="11010000">
      <w:pPr>
        <w:widowControl w:val="1"/>
        <w:ind w:hanging="7020" w:left="7020" w:right="-5"/>
        <w:jc w:val="right"/>
        <w:rPr>
          <w:sz w:val="28"/>
        </w:rPr>
      </w:pPr>
    </w:p>
    <w:p w14:paraId="12010000">
      <w:pPr>
        <w:widowControl w:val="1"/>
        <w:ind w:hanging="7020" w:left="7020" w:right="-5"/>
        <w:jc w:val="right"/>
        <w:rPr>
          <w:sz w:val="28"/>
        </w:rPr>
      </w:pPr>
    </w:p>
    <w:p w14:paraId="13010000">
      <w:pPr>
        <w:widowControl w:val="1"/>
        <w:ind w:hanging="7020" w:left="7020" w:right="-5"/>
        <w:jc w:val="right"/>
        <w:rPr>
          <w:sz w:val="28"/>
        </w:rPr>
      </w:pPr>
    </w:p>
    <w:p w14:paraId="14010000">
      <w:pPr>
        <w:widowControl w:val="1"/>
        <w:ind w:hanging="7020" w:left="7020" w:right="-5"/>
        <w:jc w:val="right"/>
        <w:rPr>
          <w:sz w:val="28"/>
        </w:rPr>
      </w:pPr>
    </w:p>
    <w:p w14:paraId="15010000">
      <w:pPr>
        <w:widowControl w:val="1"/>
        <w:ind w:hanging="7020" w:left="7020" w:right="-5"/>
        <w:jc w:val="right"/>
        <w:rPr>
          <w:sz w:val="28"/>
        </w:rPr>
      </w:pPr>
    </w:p>
    <w:p w14:paraId="16010000">
      <w:pPr>
        <w:widowControl w:val="1"/>
        <w:ind w:hanging="7020" w:left="7020" w:right="-5"/>
        <w:jc w:val="right"/>
        <w:rPr>
          <w:sz w:val="28"/>
        </w:rPr>
      </w:pPr>
    </w:p>
    <w:p w14:paraId="17010000">
      <w:pPr>
        <w:widowControl w:val="1"/>
        <w:ind w:hanging="7020" w:left="7020" w:right="-5"/>
        <w:jc w:val="right"/>
        <w:rPr>
          <w:sz w:val="28"/>
        </w:rPr>
      </w:pPr>
    </w:p>
    <w:p w14:paraId="18010000">
      <w:pPr>
        <w:widowControl w:val="1"/>
        <w:ind w:hanging="7020" w:left="7020" w:right="-5"/>
        <w:jc w:val="right"/>
        <w:rPr>
          <w:sz w:val="28"/>
        </w:rPr>
      </w:pPr>
    </w:p>
    <w:p w14:paraId="19010000">
      <w:pPr>
        <w:widowControl w:val="1"/>
        <w:ind w:hanging="7020" w:left="7020" w:right="-5"/>
        <w:jc w:val="right"/>
        <w:rPr>
          <w:sz w:val="28"/>
        </w:rPr>
      </w:pPr>
    </w:p>
    <w:p w14:paraId="1A01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</w:p>
    <w:p w14:paraId="1B01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</w:p>
    <w:p w14:paraId="1C01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</w:p>
    <w:p w14:paraId="1D01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</w:p>
    <w:p w14:paraId="1E01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</w:p>
    <w:p w14:paraId="1F01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</w:p>
    <w:p w14:paraId="2001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</w:p>
    <w:p w14:paraId="2101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</w:p>
    <w:p w14:paraId="2201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</w:p>
    <w:p w14:paraId="2301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</w:p>
    <w:p w14:paraId="2401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</w:p>
    <w:p w14:paraId="2501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</w:p>
    <w:p w14:paraId="2601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</w:p>
    <w:p w14:paraId="2701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  <w:r>
        <w:rPr>
          <w:sz w:val="24"/>
        </w:rPr>
        <w:t xml:space="preserve">Приложение №2 к программе проведения </w:t>
      </w:r>
    </w:p>
    <w:p w14:paraId="28010000">
      <w:pPr>
        <w:widowControl w:val="1"/>
        <w:tabs>
          <w:tab w:leader="none" w:pos="5250" w:val="left"/>
        </w:tabs>
        <w:ind w:left="360"/>
        <w:jc w:val="right"/>
        <w:rPr>
          <w:sz w:val="24"/>
        </w:rPr>
      </w:pPr>
      <w:r>
        <w:rPr>
          <w:sz w:val="24"/>
        </w:rPr>
        <w:t>проверки готовности объектов жизнеобеспечения</w:t>
      </w:r>
    </w:p>
    <w:p w14:paraId="29010000">
      <w:pPr>
        <w:widowControl w:val="1"/>
        <w:ind w:hanging="7020" w:left="7020" w:right="-5"/>
        <w:jc w:val="right"/>
        <w:rPr>
          <w:sz w:val="28"/>
        </w:rPr>
      </w:pPr>
      <w:r>
        <w:rPr>
          <w:sz w:val="24"/>
        </w:rPr>
        <w:t>к отопительному периоду 202</w:t>
      </w:r>
      <w:r>
        <w:rPr>
          <w:sz w:val="24"/>
        </w:rPr>
        <w:t>6</w:t>
      </w:r>
      <w:r>
        <w:rPr>
          <w:sz w:val="24"/>
        </w:rPr>
        <w:t>/202</w:t>
      </w:r>
      <w:r>
        <w:rPr>
          <w:sz w:val="24"/>
        </w:rPr>
        <w:t>7</w:t>
      </w:r>
      <w:r>
        <w:rPr>
          <w:sz w:val="24"/>
        </w:rPr>
        <w:t>гг</w:t>
      </w:r>
      <w:r>
        <w:rPr>
          <w:sz w:val="28"/>
        </w:rPr>
        <w:t xml:space="preserve"> </w:t>
      </w:r>
    </w:p>
    <w:p w14:paraId="2A010000">
      <w:pPr>
        <w:pStyle w:val="Style_4"/>
        <w:widowControl w:val="1"/>
        <w:ind/>
        <w:jc w:val="center"/>
        <w:rPr>
          <w:color w:val="000000"/>
        </w:rPr>
      </w:pPr>
    </w:p>
    <w:p w14:paraId="2B010000">
      <w:pPr>
        <w:pStyle w:val="Style_4"/>
        <w:widowControl w:val="1"/>
        <w:ind/>
        <w:jc w:val="center"/>
        <w:rPr>
          <w:color w:val="000000"/>
        </w:rPr>
      </w:pPr>
    </w:p>
    <w:p w14:paraId="2C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2D010000">
      <w:pPr>
        <w:pStyle w:val="Style_4"/>
        <w:widowControl w:val="1"/>
        <w:ind/>
        <w:jc w:val="both"/>
      </w:pPr>
      <w:r>
        <w:t xml:space="preserve">                                  ПАСПОРТ</w:t>
      </w:r>
    </w:p>
    <w:p w14:paraId="2E010000">
      <w:pPr>
        <w:pStyle w:val="Style_4"/>
        <w:widowControl w:val="1"/>
        <w:ind/>
        <w:jc w:val="both"/>
      </w:pPr>
      <w:r>
        <w:t xml:space="preserve">       обеспечения готовности к отопительному периоду ____/____ гг.</w:t>
      </w:r>
    </w:p>
    <w:p w14:paraId="2F010000">
      <w:pPr>
        <w:pStyle w:val="Style_4"/>
        <w:widowControl w:val="1"/>
        <w:ind/>
        <w:jc w:val="both"/>
      </w:pPr>
    </w:p>
    <w:p w14:paraId="30010000">
      <w:pPr>
        <w:pStyle w:val="Style_4"/>
        <w:widowControl w:val="1"/>
        <w:ind/>
        <w:jc w:val="both"/>
      </w:pPr>
      <w:r>
        <w:t xml:space="preserve">    Выдан _________________________________________________________________</w:t>
      </w:r>
    </w:p>
    <w:p w14:paraId="31010000">
      <w:pPr>
        <w:pStyle w:val="Style_4"/>
        <w:widowControl w:val="1"/>
        <w:ind/>
        <w:jc w:val="both"/>
      </w:pPr>
      <w:r>
        <w:t xml:space="preserve">             (полное наименование лица, подлежащего оценке обеспечения</w:t>
      </w:r>
    </w:p>
    <w:p w14:paraId="32010000">
      <w:pPr>
        <w:pStyle w:val="Style_4"/>
        <w:widowControl w:val="1"/>
        <w:ind/>
        <w:jc w:val="both"/>
      </w:pPr>
      <w:r>
        <w:t xml:space="preserve">                          готовности к отопительному периоду)</w:t>
      </w:r>
    </w:p>
    <w:p w14:paraId="33010000">
      <w:pPr>
        <w:pStyle w:val="Style_4"/>
        <w:widowControl w:val="1"/>
        <w:ind/>
        <w:jc w:val="both"/>
      </w:pPr>
      <w:r>
        <w:t xml:space="preserve">    В   отношении   следующих   объектов,  по  которым  проводилась  оценка</w:t>
      </w:r>
    </w:p>
    <w:p w14:paraId="34010000">
      <w:pPr>
        <w:pStyle w:val="Style_4"/>
        <w:widowControl w:val="1"/>
        <w:ind/>
        <w:jc w:val="both"/>
      </w:pPr>
      <w:r>
        <w:t>обеспечения готовности к отопительному периоду:</w:t>
      </w:r>
    </w:p>
    <w:p w14:paraId="35010000">
      <w:pPr>
        <w:pStyle w:val="Style_4"/>
        <w:widowControl w:val="1"/>
        <w:ind/>
        <w:jc w:val="both"/>
      </w:pPr>
      <w:r>
        <w:t xml:space="preserve">    1. ________________________;</w:t>
      </w:r>
    </w:p>
    <w:p w14:paraId="36010000">
      <w:pPr>
        <w:pStyle w:val="Style_4"/>
        <w:widowControl w:val="1"/>
        <w:ind/>
        <w:jc w:val="both"/>
      </w:pPr>
      <w:r>
        <w:t xml:space="preserve">    2. ________________________;</w:t>
      </w:r>
    </w:p>
    <w:p w14:paraId="37010000">
      <w:pPr>
        <w:pStyle w:val="Style_4"/>
        <w:widowControl w:val="1"/>
        <w:ind/>
        <w:jc w:val="both"/>
      </w:pPr>
      <w:r>
        <w:t xml:space="preserve">    3. ________________________;</w:t>
      </w:r>
    </w:p>
    <w:p w14:paraId="38010000">
      <w:pPr>
        <w:pStyle w:val="Style_4"/>
        <w:widowControl w:val="1"/>
        <w:ind/>
        <w:jc w:val="both"/>
      </w:pPr>
      <w:r>
        <w:t xml:space="preserve">    NN ________________________.</w:t>
      </w:r>
    </w:p>
    <w:p w14:paraId="39010000">
      <w:pPr>
        <w:pStyle w:val="Style_4"/>
        <w:widowControl w:val="1"/>
        <w:ind/>
        <w:jc w:val="both"/>
      </w:pPr>
      <w:r>
        <w:t xml:space="preserve">    Основание   выдачи  паспорта  обеспечения  готовности  к  отопительному</w:t>
      </w:r>
    </w:p>
    <w:p w14:paraId="3A010000">
      <w:pPr>
        <w:pStyle w:val="Style_4"/>
        <w:widowControl w:val="1"/>
        <w:ind/>
        <w:jc w:val="both"/>
      </w:pPr>
      <w:r>
        <w:t>периоду:</w:t>
      </w:r>
    </w:p>
    <w:p w14:paraId="3B010000">
      <w:pPr>
        <w:pStyle w:val="Style_4"/>
        <w:widowControl w:val="1"/>
        <w:ind/>
        <w:jc w:val="both"/>
      </w:pPr>
      <w:r>
        <w:t xml:space="preserve">    Акт оценки обеспечения готовности к отопительному периоду от __________</w:t>
      </w:r>
    </w:p>
    <w:p w14:paraId="3C010000">
      <w:pPr>
        <w:pStyle w:val="Style_4"/>
        <w:widowControl w:val="1"/>
        <w:ind/>
        <w:jc w:val="both"/>
      </w:pPr>
      <w:r>
        <w:t>N _________.</w:t>
      </w:r>
    </w:p>
    <w:p w14:paraId="3D010000">
      <w:pPr>
        <w:pStyle w:val="Style_4"/>
        <w:widowControl w:val="1"/>
        <w:ind/>
        <w:jc w:val="both"/>
      </w:pPr>
    </w:p>
    <w:p w14:paraId="3E010000">
      <w:pPr>
        <w:pStyle w:val="Style_4"/>
        <w:widowControl w:val="1"/>
        <w:ind/>
        <w:jc w:val="both"/>
      </w:pPr>
      <w:r>
        <w:t xml:space="preserve">                                     ______________________________________</w:t>
      </w:r>
    </w:p>
    <w:p w14:paraId="3F010000">
      <w:pPr>
        <w:pStyle w:val="Style_4"/>
        <w:widowControl w:val="1"/>
        <w:ind/>
        <w:jc w:val="both"/>
      </w:pPr>
      <w:r>
        <w:t xml:space="preserve">                                     (подпись, расшифровка подписи и печать</w:t>
      </w:r>
    </w:p>
    <w:p w14:paraId="40010000">
      <w:pPr>
        <w:pStyle w:val="Style_4"/>
        <w:widowControl w:val="1"/>
        <w:ind/>
        <w:jc w:val="both"/>
      </w:pPr>
      <w:r>
        <w:t xml:space="preserve">                          уполномоченного органа, образовавшего комиссию по</w:t>
      </w:r>
    </w:p>
    <w:p w14:paraId="41010000">
      <w:pPr>
        <w:pStyle w:val="Style_4"/>
        <w:widowControl w:val="1"/>
        <w:ind/>
        <w:jc w:val="both"/>
      </w:pPr>
      <w:r>
        <w:t xml:space="preserve">                          проведению   оценки  обеспечения   готовности   к</w:t>
      </w:r>
    </w:p>
    <w:p w14:paraId="42010000">
      <w:pPr>
        <w:pStyle w:val="Style_4"/>
        <w:widowControl w:val="1"/>
        <w:ind/>
        <w:jc w:val="both"/>
      </w:pPr>
      <w:r>
        <w:t xml:space="preserve">                          отопительному периоду)</w:t>
      </w:r>
    </w:p>
    <w:p w14:paraId="43010000">
      <w:pPr>
        <w:pStyle w:val="Style_3"/>
        <w:widowControl w:val="1"/>
        <w:ind/>
        <w:jc w:val="both"/>
      </w:pPr>
    </w:p>
    <w:p w14:paraId="44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45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46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47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48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49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4A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4B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4C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4D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4E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4F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50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51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52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53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54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55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56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57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58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59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5A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5B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5C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5D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5E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5F010000">
      <w:pPr>
        <w:pStyle w:val="Style_4"/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60010000">
      <w:pPr>
        <w:widowControl w:val="1"/>
        <w:ind w:hanging="7020" w:left="7020" w:right="-5"/>
        <w:jc w:val="right"/>
        <w:rPr>
          <w:sz w:val="24"/>
        </w:rPr>
      </w:pPr>
      <w:r>
        <w:rPr>
          <w:sz w:val="24"/>
        </w:rPr>
        <w:t>Приложение №2</w:t>
      </w:r>
    </w:p>
    <w:p w14:paraId="61010000">
      <w:pPr>
        <w:widowControl w:val="1"/>
        <w:ind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к постановлению администрации</w:t>
      </w:r>
    </w:p>
    <w:p w14:paraId="62010000">
      <w:pPr>
        <w:widowControl w:val="1"/>
        <w:ind/>
        <w:jc w:val="right"/>
        <w:rPr>
          <w:sz w:val="24"/>
        </w:rPr>
      </w:pPr>
      <w:r>
        <w:rPr>
          <w:sz w:val="24"/>
        </w:rPr>
        <w:t xml:space="preserve">Крапивинского муниципального </w:t>
      </w:r>
      <w:r>
        <w:rPr>
          <w:sz w:val="24"/>
        </w:rPr>
        <w:t>округа</w:t>
      </w:r>
    </w:p>
    <w:p w14:paraId="63010000">
      <w:pPr>
        <w:widowControl w:val="1"/>
        <w:tabs>
          <w:tab w:leader="none" w:pos="5250" w:val="left"/>
        </w:tabs>
        <w:ind/>
        <w:jc w:val="right"/>
        <w:rPr>
          <w:sz w:val="24"/>
        </w:rPr>
      </w:pPr>
      <w:r>
        <w:rPr>
          <w:sz w:val="24"/>
        </w:rPr>
        <w:tab/>
      </w:r>
      <w:r>
        <w:rPr>
          <w:sz w:val="24"/>
        </w:rPr>
        <w:t>от _________№ __________</w:t>
      </w:r>
    </w:p>
    <w:p w14:paraId="64010000">
      <w:pPr>
        <w:widowControl w:val="1"/>
        <w:tabs>
          <w:tab w:leader="none" w:pos="5250" w:val="left"/>
        </w:tabs>
        <w:ind w:left="360"/>
        <w:jc w:val="both"/>
        <w:rPr>
          <w:sz w:val="24"/>
        </w:rPr>
      </w:pPr>
    </w:p>
    <w:p w14:paraId="65010000">
      <w:pPr>
        <w:widowControl w:val="1"/>
        <w:tabs>
          <w:tab w:leader="none" w:pos="5250" w:val="left"/>
        </w:tabs>
        <w:ind w:left="360"/>
        <w:jc w:val="center"/>
        <w:rPr>
          <w:b w:val="1"/>
          <w:sz w:val="28"/>
        </w:rPr>
      </w:pPr>
    </w:p>
    <w:p w14:paraId="66010000">
      <w:pPr>
        <w:widowControl w:val="1"/>
        <w:tabs>
          <w:tab w:leader="none" w:pos="5250" w:val="left"/>
        </w:tabs>
        <w:ind w:left="360"/>
        <w:jc w:val="center"/>
        <w:rPr>
          <w:b w:val="1"/>
          <w:sz w:val="28"/>
        </w:rPr>
      </w:pPr>
      <w:r>
        <w:rPr>
          <w:b w:val="1"/>
          <w:sz w:val="28"/>
        </w:rPr>
        <w:t>Состав территориальной комиссии</w:t>
      </w:r>
    </w:p>
    <w:p w14:paraId="67010000">
      <w:pPr>
        <w:widowControl w:val="1"/>
        <w:tabs>
          <w:tab w:leader="none" w:pos="5250" w:val="left"/>
        </w:tabs>
        <w:ind w:left="360"/>
        <w:jc w:val="center"/>
        <w:rPr>
          <w:b w:val="1"/>
          <w:sz w:val="28"/>
        </w:rPr>
      </w:pPr>
      <w:r>
        <w:rPr>
          <w:b w:val="1"/>
          <w:sz w:val="28"/>
        </w:rPr>
        <w:t xml:space="preserve"> по контролю за подготовкой объектов жизнеобеспечения </w:t>
      </w:r>
    </w:p>
    <w:p w14:paraId="68010000">
      <w:pPr>
        <w:widowControl w:val="1"/>
        <w:tabs>
          <w:tab w:leader="none" w:pos="5250" w:val="left"/>
        </w:tabs>
        <w:ind w:left="360"/>
        <w:jc w:val="center"/>
        <w:rPr>
          <w:b w:val="1"/>
          <w:sz w:val="28"/>
        </w:rPr>
      </w:pPr>
      <w:r>
        <w:rPr>
          <w:b w:val="1"/>
          <w:sz w:val="28"/>
        </w:rPr>
        <w:t xml:space="preserve">к отопительному периоду </w:t>
      </w:r>
      <w:r>
        <w:rPr>
          <w:b w:val="1"/>
          <w:sz w:val="28"/>
        </w:rPr>
        <w:t>202</w:t>
      </w:r>
      <w:r>
        <w:rPr>
          <w:b w:val="1"/>
          <w:sz w:val="28"/>
        </w:rPr>
        <w:t>6</w:t>
      </w:r>
      <w:r>
        <w:rPr>
          <w:b w:val="1"/>
          <w:sz w:val="28"/>
        </w:rPr>
        <w:t>/202</w:t>
      </w:r>
      <w:r>
        <w:rPr>
          <w:b w:val="1"/>
          <w:sz w:val="28"/>
        </w:rPr>
        <w:t>7</w:t>
      </w:r>
      <w:r>
        <w:rPr>
          <w:b w:val="1"/>
          <w:sz w:val="28"/>
        </w:rPr>
        <w:t>гг.</w:t>
      </w:r>
    </w:p>
    <w:p w14:paraId="69010000">
      <w:pPr>
        <w:widowControl w:val="1"/>
        <w:tabs>
          <w:tab w:leader="none" w:pos="5250" w:val="left"/>
        </w:tabs>
        <w:ind w:left="360"/>
        <w:jc w:val="center"/>
        <w:rPr>
          <w:b w:val="1"/>
          <w:sz w:val="28"/>
        </w:rPr>
      </w:pPr>
    </w:p>
    <w:tbl>
      <w:tblPr>
        <w:tblStyle w:val="Style_1"/>
        <w:tblW w:type="auto" w:w="0"/>
        <w:tblLayout w:type="fixed"/>
      </w:tblPr>
      <w:tblGrid>
        <w:gridCol w:w="2518"/>
        <w:gridCol w:w="7088"/>
      </w:tblGrid>
      <w:tr>
        <w:tc>
          <w:tcPr>
            <w:tcW w:type="dxa" w:w="2518"/>
            <w:shd w:fill="auto" w:val="clear"/>
          </w:tcPr>
          <w:p w14:paraId="6A010000">
            <w:pPr>
              <w:widowControl w:val="1"/>
              <w:tabs>
                <w:tab w:leader="none" w:pos="198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>Н.Ф.Арнольд         -</w:t>
            </w:r>
          </w:p>
        </w:tc>
        <w:tc>
          <w:tcPr>
            <w:tcW w:type="dxa" w:w="7088"/>
            <w:shd w:fill="auto" w:val="clear"/>
          </w:tcPr>
          <w:p w14:paraId="6B010000">
            <w:pPr>
              <w:widowControl w:val="1"/>
              <w:tabs>
                <w:tab w:leader="none" w:pos="5250" w:val="left"/>
              </w:tabs>
              <w:ind w:left="34"/>
              <w:jc w:val="both"/>
              <w:rPr>
                <w:sz w:val="27"/>
              </w:rPr>
            </w:pPr>
            <w:r>
              <w:rPr>
                <w:sz w:val="27"/>
              </w:rPr>
              <w:t>первый заместитель главы Крапивинского муниципального округа (по жилищно-коммунальному хозяйству, капитальному строительству и дорожному хозяйству)</w:t>
            </w:r>
            <w:r>
              <w:rPr>
                <w:sz w:val="27"/>
              </w:rPr>
              <w:t xml:space="preserve">, </w:t>
            </w:r>
            <w:r>
              <w:rPr>
                <w:sz w:val="27"/>
              </w:rPr>
              <w:t>председатель комиссии</w:t>
            </w:r>
            <w:r>
              <w:rPr>
                <w:sz w:val="27"/>
              </w:rPr>
              <w:t>.</w:t>
            </w:r>
          </w:p>
        </w:tc>
      </w:tr>
      <w:tr>
        <w:tc>
          <w:tcPr>
            <w:tcW w:type="dxa" w:w="2518"/>
            <w:shd w:fill="auto" w:val="clear"/>
          </w:tcPr>
          <w:p w14:paraId="6C010000">
            <w:pPr>
              <w:widowControl w:val="1"/>
              <w:tabs>
                <w:tab w:leader="none" w:pos="198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 xml:space="preserve">Е.А.Голошумова </w:t>
            </w:r>
            <w:r>
              <w:rPr>
                <w:sz w:val="27"/>
              </w:rPr>
              <w:t xml:space="preserve">  -</w:t>
            </w:r>
            <w:r>
              <w:rPr>
                <w:sz w:val="27"/>
              </w:rPr>
              <w:t xml:space="preserve">     </w:t>
            </w:r>
          </w:p>
        </w:tc>
        <w:tc>
          <w:tcPr>
            <w:tcW w:type="dxa" w:w="7088"/>
            <w:shd w:fill="auto" w:val="clear"/>
          </w:tcPr>
          <w:p w14:paraId="6D010000">
            <w:pPr>
              <w:widowControl w:val="1"/>
              <w:tabs>
                <w:tab w:leader="none" w:pos="5250" w:val="left"/>
              </w:tabs>
              <w:ind w:left="34"/>
              <w:jc w:val="both"/>
              <w:rPr>
                <w:sz w:val="27"/>
              </w:rPr>
            </w:pPr>
            <w:r>
              <w:rPr>
                <w:sz w:val="27"/>
              </w:rPr>
              <w:t>заместитель главы Крапи</w:t>
            </w:r>
            <w:r>
              <w:rPr>
                <w:sz w:val="27"/>
              </w:rPr>
              <w:t xml:space="preserve">винского муниципального округа </w:t>
            </w:r>
            <w:r>
              <w:rPr>
                <w:sz w:val="27"/>
              </w:rPr>
              <w:t>(по социальным вопросам)</w:t>
            </w:r>
            <w:r>
              <w:rPr>
                <w:sz w:val="27"/>
              </w:rPr>
              <w:t xml:space="preserve">, </w:t>
            </w:r>
            <w:r>
              <w:rPr>
                <w:sz w:val="27"/>
              </w:rPr>
              <w:t>заместитель председателя комиссии</w:t>
            </w:r>
            <w:r>
              <w:rPr>
                <w:sz w:val="27"/>
              </w:rPr>
              <w:t xml:space="preserve">. </w:t>
            </w:r>
          </w:p>
        </w:tc>
      </w:tr>
    </w:tbl>
    <w:p w14:paraId="6E010000">
      <w:pPr>
        <w:widowControl w:val="1"/>
        <w:tabs>
          <w:tab w:leader="none" w:pos="1980" w:val="left"/>
        </w:tabs>
        <w:ind/>
        <w:jc w:val="both"/>
        <w:rPr>
          <w:sz w:val="27"/>
        </w:rPr>
      </w:pPr>
      <w:r>
        <w:rPr>
          <w:sz w:val="27"/>
        </w:rPr>
        <w:t>Члены комиссии:</w:t>
      </w:r>
    </w:p>
    <w:p w14:paraId="6F010000">
      <w:pPr>
        <w:widowControl w:val="1"/>
        <w:tabs>
          <w:tab w:leader="none" w:pos="1980" w:val="left"/>
        </w:tabs>
        <w:ind/>
        <w:jc w:val="both"/>
        <w:rPr>
          <w:sz w:val="27"/>
        </w:rPr>
      </w:pPr>
    </w:p>
    <w:tbl>
      <w:tblPr>
        <w:tblStyle w:val="Style_1"/>
        <w:tblW w:type="auto" w:w="0"/>
        <w:tblLayout w:type="fixed"/>
      </w:tblPr>
      <w:tblGrid>
        <w:gridCol w:w="2518"/>
        <w:gridCol w:w="3260"/>
        <w:gridCol w:w="3686"/>
        <w:gridCol w:w="142"/>
        <w:gridCol w:w="42"/>
      </w:tblGrid>
      <w:tr>
        <w:tc>
          <w:tcPr>
            <w:tcW w:type="dxa" w:w="2518"/>
            <w:shd w:fill="auto" w:val="clear"/>
          </w:tcPr>
          <w:p w14:paraId="70010000">
            <w:pPr>
              <w:widowControl w:val="1"/>
              <w:tabs>
                <w:tab w:leader="none" w:pos="198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 xml:space="preserve">Ю.В.Сухорукова   </w:t>
            </w:r>
            <w:r>
              <w:rPr>
                <w:sz w:val="27"/>
              </w:rPr>
              <w:t>-</w:t>
            </w:r>
            <w:r>
              <w:rPr>
                <w:sz w:val="27"/>
              </w:rPr>
              <w:t xml:space="preserve">     </w:t>
            </w:r>
          </w:p>
        </w:tc>
        <w:tc>
          <w:tcPr>
            <w:tcW w:type="dxa" w:w="7088"/>
            <w:gridSpan w:val="3"/>
            <w:shd w:fill="auto" w:val="clear"/>
          </w:tcPr>
          <w:p w14:paraId="71010000">
            <w:pPr>
              <w:widowControl w:val="1"/>
              <w:tabs>
                <w:tab w:leader="none" w:pos="5250" w:val="left"/>
              </w:tabs>
              <w:ind w:hanging="34" w:left="34"/>
              <w:jc w:val="both"/>
              <w:rPr>
                <w:sz w:val="27"/>
              </w:rPr>
            </w:pPr>
            <w:r>
              <w:rPr>
                <w:sz w:val="27"/>
              </w:rPr>
              <w:t>начальник МКУ «УЖС администрации Крапивинского муниципального округа»;</w:t>
            </w:r>
          </w:p>
          <w:p w14:paraId="72010000">
            <w:pPr>
              <w:widowControl w:val="1"/>
              <w:tabs>
                <w:tab w:leader="none" w:pos="5250" w:val="left"/>
              </w:tabs>
              <w:ind w:hanging="34" w:left="34"/>
              <w:jc w:val="both"/>
              <w:rPr>
                <w:sz w:val="27"/>
              </w:rPr>
            </w:pPr>
          </w:p>
        </w:tc>
        <w:tc>
          <w:tcPr>
            <w:tcW w:type="dxa" w:w="42"/>
          </w:tcPr>
          <w:p/>
        </w:tc>
      </w:tr>
      <w:tr>
        <w:tc>
          <w:tcPr>
            <w:tcW w:type="dxa" w:w="2518"/>
            <w:shd w:fill="auto" w:val="clear"/>
          </w:tcPr>
          <w:p w14:paraId="73010000">
            <w:pPr>
              <w:widowControl w:val="1"/>
              <w:tabs>
                <w:tab w:leader="none" w:pos="198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 xml:space="preserve">Е.С. Сметанин      </w:t>
            </w:r>
            <w:r>
              <w:rPr>
                <w:sz w:val="27"/>
              </w:rPr>
              <w:t xml:space="preserve"> -   </w:t>
            </w:r>
            <w:r>
              <w:rPr>
                <w:sz w:val="27"/>
              </w:rPr>
              <w:t xml:space="preserve">       </w:t>
            </w:r>
          </w:p>
        </w:tc>
        <w:tc>
          <w:tcPr>
            <w:tcW w:type="dxa" w:w="7130"/>
            <w:gridSpan w:val="4"/>
            <w:shd w:fill="auto" w:val="clear"/>
          </w:tcPr>
          <w:p w14:paraId="74010000">
            <w:pPr>
              <w:widowControl w:val="1"/>
              <w:tabs>
                <w:tab w:leader="none" w:pos="0" w:val="left"/>
                <w:tab w:leader="none" w:pos="90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>директор ООО «Тепло-энергетические предприятия», единая теплоснабжающая организация (по согласованию);</w:t>
            </w:r>
          </w:p>
          <w:p w14:paraId="75010000">
            <w:pPr>
              <w:widowControl w:val="1"/>
              <w:tabs>
                <w:tab w:leader="none" w:pos="0" w:val="left"/>
                <w:tab w:leader="none" w:pos="900" w:val="left"/>
              </w:tabs>
              <w:ind/>
              <w:jc w:val="both"/>
              <w:rPr>
                <w:sz w:val="27"/>
              </w:rPr>
            </w:pPr>
          </w:p>
        </w:tc>
      </w:tr>
      <w:tr>
        <w:tc>
          <w:tcPr>
            <w:tcW w:type="dxa" w:w="2518"/>
            <w:shd w:fill="auto" w:val="clear"/>
          </w:tcPr>
          <w:p w14:paraId="76010000">
            <w:pPr>
              <w:widowControl w:val="1"/>
              <w:tabs>
                <w:tab w:leader="none" w:pos="198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 xml:space="preserve">А.В. Игнатов         -  </w:t>
            </w:r>
          </w:p>
        </w:tc>
        <w:tc>
          <w:tcPr>
            <w:tcW w:type="dxa" w:w="7130"/>
            <w:gridSpan w:val="4"/>
            <w:shd w:fill="auto" w:val="clear"/>
          </w:tcPr>
          <w:p w14:paraId="77010000">
            <w:pPr>
              <w:widowControl w:val="1"/>
              <w:tabs>
                <w:tab w:leader="none" w:pos="0" w:val="left"/>
                <w:tab w:leader="none" w:pos="90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>з</w:t>
            </w:r>
            <w:r>
              <w:rPr>
                <w:sz w:val="27"/>
              </w:rPr>
              <w:t>аместитель директора по производственным вопросам  ООО «Кузбасская энергосетевая компания» (по согласованию</w:t>
            </w:r>
            <w:r>
              <w:rPr>
                <w:sz w:val="27"/>
              </w:rPr>
              <w:t>, в отношении объектов, расположенных на территории пгт.Зеленогорский, пгт.Крапивинский)</w:t>
            </w:r>
            <w:r>
              <w:rPr>
                <w:sz w:val="27"/>
              </w:rPr>
              <w:t>;</w:t>
            </w:r>
          </w:p>
          <w:p w14:paraId="78010000">
            <w:pPr>
              <w:widowControl w:val="1"/>
              <w:tabs>
                <w:tab w:leader="none" w:pos="0" w:val="left"/>
                <w:tab w:leader="none" w:pos="900" w:val="left"/>
              </w:tabs>
              <w:ind/>
              <w:jc w:val="both"/>
              <w:rPr>
                <w:sz w:val="27"/>
              </w:rPr>
            </w:pPr>
          </w:p>
        </w:tc>
      </w:tr>
      <w:tr>
        <w:tc>
          <w:tcPr>
            <w:tcW w:type="dxa" w:w="2518"/>
            <w:shd w:fill="auto" w:val="clear"/>
          </w:tcPr>
          <w:p w14:paraId="79010000">
            <w:pPr>
              <w:widowControl w:val="1"/>
              <w:tabs>
                <w:tab w:leader="none" w:pos="198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>И.Ю.Арещенко</w:t>
            </w:r>
            <w:r>
              <w:rPr>
                <w:sz w:val="27"/>
              </w:rPr>
              <w:t xml:space="preserve">           </w:t>
            </w:r>
          </w:p>
        </w:tc>
        <w:tc>
          <w:tcPr>
            <w:tcW w:type="dxa" w:w="7130"/>
            <w:gridSpan w:val="4"/>
            <w:shd w:fill="auto" w:val="clear"/>
          </w:tcPr>
          <w:p w14:paraId="7A010000">
            <w:pPr>
              <w:widowControl w:val="1"/>
              <w:tabs>
                <w:tab w:leader="none" w:pos="0" w:val="left"/>
                <w:tab w:leader="none" w:pos="90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>начальник Панфиловского РЭС ПО ЦЭС «Кузбассэнерго-РЭС» филиала ПАО «Россети Сибирь» (по согласованию, в отношении объектов, расположенных на территории сельских населенных пунктов);</w:t>
            </w:r>
          </w:p>
          <w:p w14:paraId="7B010000">
            <w:pPr>
              <w:widowControl w:val="1"/>
              <w:tabs>
                <w:tab w:leader="none" w:pos="0" w:val="left"/>
                <w:tab w:leader="none" w:pos="900" w:val="left"/>
              </w:tabs>
              <w:ind/>
              <w:jc w:val="both"/>
              <w:rPr>
                <w:sz w:val="27"/>
              </w:rPr>
            </w:pPr>
          </w:p>
        </w:tc>
      </w:tr>
      <w:tr>
        <w:tc>
          <w:tcPr>
            <w:tcW w:type="dxa" w:w="2518"/>
            <w:shd w:fill="auto" w:val="clear"/>
          </w:tcPr>
          <w:p w14:paraId="7C010000">
            <w:pPr>
              <w:widowControl w:val="1"/>
              <w:tabs>
                <w:tab w:leader="none" w:pos="198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>В.Д. Кайль</w:t>
            </w:r>
            <w:r>
              <w:rPr>
                <w:sz w:val="27"/>
              </w:rPr>
              <w:t xml:space="preserve">     </w:t>
            </w:r>
            <w:r>
              <w:rPr>
                <w:sz w:val="27"/>
              </w:rPr>
              <w:t xml:space="preserve">      -</w:t>
            </w:r>
            <w:r>
              <w:rPr>
                <w:sz w:val="27"/>
              </w:rPr>
              <w:t xml:space="preserve">  </w:t>
            </w:r>
          </w:p>
        </w:tc>
        <w:tc>
          <w:tcPr>
            <w:tcW w:type="dxa" w:w="7130"/>
            <w:gridSpan w:val="4"/>
            <w:shd w:fill="auto" w:val="clear"/>
          </w:tcPr>
          <w:p w14:paraId="7D010000">
            <w:pPr>
              <w:widowControl w:val="1"/>
              <w:tabs>
                <w:tab w:leader="none" w:pos="0" w:val="left"/>
                <w:tab w:leader="none" w:pos="90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>специалист 1 категории</w:t>
            </w:r>
            <w:r>
              <w:rPr>
                <w:sz w:val="27"/>
              </w:rPr>
              <w:t xml:space="preserve"> ГКУ «Центр оперативного контроля жилищно-коммунального и дорожного комплекса Кузбасса»</w:t>
            </w:r>
            <w:r>
              <w:rPr>
                <w:sz w:val="27"/>
              </w:rPr>
              <w:t xml:space="preserve"> (по согласованию, в отношении ресурсно-снабжающей организации муниципального образования);</w:t>
            </w:r>
          </w:p>
          <w:p w14:paraId="7E010000">
            <w:pPr>
              <w:widowControl w:val="1"/>
              <w:tabs>
                <w:tab w:leader="none" w:pos="0" w:val="left"/>
                <w:tab w:leader="none" w:pos="900" w:val="left"/>
              </w:tabs>
              <w:ind/>
              <w:jc w:val="both"/>
              <w:rPr>
                <w:sz w:val="27"/>
              </w:rPr>
            </w:pPr>
          </w:p>
        </w:tc>
      </w:tr>
      <w:tr>
        <w:trPr>
          <w:trHeight w:hRule="atLeast" w:val="1636"/>
        </w:trPr>
        <w:tc>
          <w:tcPr>
            <w:tcW w:type="dxa" w:w="2518"/>
            <w:shd w:fill="auto" w:val="clear"/>
          </w:tcPr>
          <w:p w14:paraId="7F010000">
            <w:pPr>
              <w:widowControl w:val="1"/>
              <w:tabs>
                <w:tab w:leader="none" w:pos="198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 xml:space="preserve">Представитель    -     </w:t>
            </w:r>
          </w:p>
          <w:p w14:paraId="80010000">
            <w:pPr>
              <w:rPr>
                <w:sz w:val="27"/>
              </w:rPr>
            </w:pPr>
          </w:p>
          <w:p w14:paraId="81010000">
            <w:pPr>
              <w:rPr>
                <w:sz w:val="27"/>
              </w:rPr>
            </w:pPr>
          </w:p>
          <w:p w14:paraId="82010000">
            <w:pPr>
              <w:rPr>
                <w:sz w:val="27"/>
              </w:rPr>
            </w:pPr>
          </w:p>
          <w:p w14:paraId="83010000">
            <w:pPr>
              <w:pStyle w:val="Style_5"/>
            </w:pPr>
          </w:p>
        </w:tc>
        <w:tc>
          <w:tcPr>
            <w:tcW w:type="dxa" w:w="7130"/>
            <w:gridSpan w:val="4"/>
            <w:shd w:fill="auto" w:val="clear"/>
          </w:tcPr>
          <w:p w14:paraId="84010000">
            <w:pPr>
              <w:widowControl w:val="1"/>
              <w:tabs>
                <w:tab w:leader="none" w:pos="0" w:val="left"/>
                <w:tab w:leader="none" w:pos="90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 xml:space="preserve">главный </w:t>
            </w:r>
            <w:r>
              <w:rPr>
                <w:sz w:val="27"/>
              </w:rPr>
              <w:t>государственный инспектор Кузбасского отдела по надзору за тепловыми электростанциями, теплогенерирующими установками и сетями и котлонадзору Сибирского управления Ростехнадзора по Кемеровской области (по согласованию</w:t>
            </w:r>
            <w:r>
              <w:rPr>
                <w:sz w:val="27"/>
              </w:rPr>
              <w:t>, в отношении ресурсно-снабжающей организации муниципального образования</w:t>
            </w:r>
            <w:r>
              <w:rPr>
                <w:sz w:val="27"/>
              </w:rPr>
              <w:t>);</w:t>
            </w:r>
          </w:p>
          <w:p w14:paraId="85010000">
            <w:pPr>
              <w:widowControl w:val="1"/>
              <w:tabs>
                <w:tab w:leader="none" w:pos="0" w:val="left"/>
                <w:tab w:leader="none" w:pos="900" w:val="left"/>
              </w:tabs>
              <w:ind/>
              <w:jc w:val="both"/>
              <w:rPr>
                <w:sz w:val="27"/>
              </w:rPr>
            </w:pPr>
          </w:p>
        </w:tc>
      </w:tr>
      <w:tr>
        <w:tc>
          <w:tcPr>
            <w:tcW w:type="dxa" w:w="2518"/>
            <w:shd w:fill="auto" w:val="clear"/>
          </w:tcPr>
          <w:p w14:paraId="86010000">
            <w:pPr>
              <w:widowControl w:val="1"/>
              <w:tabs>
                <w:tab w:leader="none" w:pos="198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 xml:space="preserve">Представитель    -     </w:t>
            </w:r>
          </w:p>
        </w:tc>
        <w:tc>
          <w:tcPr>
            <w:tcW w:type="dxa" w:w="7130"/>
            <w:gridSpan w:val="4"/>
            <w:shd w:fill="auto" w:val="clear"/>
          </w:tcPr>
          <w:p w14:paraId="87010000">
            <w:pPr>
              <w:widowControl w:val="1"/>
              <w:tabs>
                <w:tab w:leader="none" w:pos="0" w:val="left"/>
                <w:tab w:leader="none" w:pos="90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 xml:space="preserve">государственный инспектор Кузбасского отдела по надзору за </w:t>
            </w:r>
            <w:r>
              <w:rPr>
                <w:sz w:val="27"/>
              </w:rPr>
              <w:t xml:space="preserve">энергосетями и энергоустановками потребителей и энергоснабжением </w:t>
            </w:r>
            <w:r>
              <w:rPr>
                <w:sz w:val="27"/>
              </w:rPr>
              <w:t>Сибирского управления Ростехнадзора по Кемеровской области (по согласованию</w:t>
            </w:r>
            <w:r>
              <w:rPr>
                <w:sz w:val="27"/>
              </w:rPr>
              <w:t>, в отношении ресурсно-снабжающей организации муниципального образования</w:t>
            </w:r>
            <w:r>
              <w:rPr>
                <w:sz w:val="27"/>
              </w:rPr>
              <w:t>);</w:t>
            </w:r>
          </w:p>
          <w:p w14:paraId="88010000">
            <w:pPr>
              <w:widowControl w:val="1"/>
              <w:tabs>
                <w:tab w:leader="none" w:pos="0" w:val="left"/>
                <w:tab w:leader="none" w:pos="900" w:val="left"/>
              </w:tabs>
              <w:ind/>
              <w:jc w:val="both"/>
              <w:rPr>
                <w:sz w:val="27"/>
              </w:rPr>
            </w:pPr>
          </w:p>
        </w:tc>
      </w:tr>
      <w:tr>
        <w:trPr>
          <w:trHeight w:hRule="atLeast" w:val="716"/>
        </w:trPr>
        <w:tc>
          <w:tcPr>
            <w:tcW w:type="dxa" w:w="2518"/>
            <w:shd w:fill="auto" w:val="clear"/>
          </w:tcPr>
          <w:p w14:paraId="89010000">
            <w:pPr>
              <w:widowControl w:val="1"/>
              <w:tabs>
                <w:tab w:leader="none" w:pos="198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 xml:space="preserve">Представитель   -  </w:t>
            </w:r>
          </w:p>
        </w:tc>
        <w:tc>
          <w:tcPr>
            <w:tcW w:type="dxa" w:w="7130"/>
            <w:gridSpan w:val="4"/>
            <w:shd w:fill="auto" w:val="clear"/>
          </w:tcPr>
          <w:p w14:paraId="8A010000">
            <w:pPr>
              <w:widowControl w:val="1"/>
              <w:tabs>
                <w:tab w:leader="none" w:pos="0" w:val="left"/>
                <w:tab w:leader="none" w:pos="90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>представитель Государственной жилищной инспекции Кузбасса</w:t>
            </w:r>
            <w:r>
              <w:rPr>
                <w:sz w:val="27"/>
              </w:rPr>
              <w:t xml:space="preserve"> (по согласованию, в отношении многоквартирных домов).</w:t>
            </w:r>
          </w:p>
          <w:p w14:paraId="8B010000">
            <w:pPr>
              <w:widowControl w:val="1"/>
              <w:tabs>
                <w:tab w:leader="none" w:pos="0" w:val="left"/>
                <w:tab w:leader="none" w:pos="900" w:val="left"/>
              </w:tabs>
              <w:ind/>
              <w:jc w:val="both"/>
              <w:rPr>
                <w:sz w:val="27"/>
              </w:rPr>
            </w:pPr>
          </w:p>
          <w:p w14:paraId="8C010000">
            <w:pPr>
              <w:widowControl w:val="1"/>
              <w:tabs>
                <w:tab w:leader="none" w:pos="0" w:val="left"/>
                <w:tab w:leader="none" w:pos="900" w:val="left"/>
              </w:tabs>
              <w:ind/>
              <w:jc w:val="both"/>
              <w:rPr>
                <w:sz w:val="27"/>
              </w:rPr>
            </w:pPr>
          </w:p>
        </w:tc>
      </w:tr>
      <w:tr>
        <w:tc>
          <w:tcPr>
            <w:tcW w:type="dxa" w:w="5778"/>
            <w:gridSpan w:val="2"/>
            <w:shd w:fill="auto" w:val="clear"/>
          </w:tcPr>
          <w:p w14:paraId="8D010000">
            <w:pPr>
              <w:widowControl w:val="1"/>
              <w:ind/>
              <w:jc w:val="center"/>
              <w:rPr>
                <w:sz w:val="27"/>
              </w:rPr>
            </w:pPr>
            <w:r>
              <w:rPr>
                <w:sz w:val="27"/>
              </w:rPr>
              <w:t xml:space="preserve">         </w:t>
            </w:r>
            <w:r>
              <w:rPr>
                <w:sz w:val="27"/>
              </w:rPr>
              <w:t>Первый заместитель главы</w:t>
            </w:r>
          </w:p>
        </w:tc>
        <w:tc>
          <w:tcPr>
            <w:tcW w:type="dxa" w:w="3686"/>
            <w:shd w:fill="auto" w:val="clear"/>
          </w:tcPr>
          <w:p w14:paraId="8E010000">
            <w:pPr>
              <w:widowControl w:val="1"/>
              <w:ind/>
              <w:jc w:val="both"/>
              <w:rPr>
                <w:sz w:val="27"/>
              </w:rPr>
            </w:pPr>
          </w:p>
        </w:tc>
        <w:tc>
          <w:tcPr>
            <w:tcW w:type="dxa" w:w="142"/>
          </w:tcPr>
          <w:p/>
        </w:tc>
        <w:tc>
          <w:tcPr>
            <w:tcW w:type="dxa" w:w="42"/>
          </w:tcPr>
          <w:p/>
        </w:tc>
      </w:tr>
      <w:tr>
        <w:trPr>
          <w:trHeight w:hRule="atLeast" w:val="1381"/>
        </w:trPr>
        <w:tc>
          <w:tcPr>
            <w:tcW w:type="dxa" w:w="5778"/>
            <w:gridSpan w:val="2"/>
            <w:shd w:fill="auto" w:val="clear"/>
          </w:tcPr>
          <w:p w14:paraId="8F010000">
            <w:pPr>
              <w:widowControl w:val="1"/>
              <w:ind/>
              <w:jc w:val="center"/>
              <w:rPr>
                <w:sz w:val="27"/>
              </w:rPr>
            </w:pPr>
            <w:r>
              <w:rPr>
                <w:sz w:val="27"/>
              </w:rPr>
              <w:t xml:space="preserve">Крапивинского муниципального округа  </w:t>
            </w:r>
            <w:r>
              <w:rPr>
                <w:sz w:val="27"/>
              </w:rPr>
              <w:t>(по жилищно-коммунальному хозяйству,</w:t>
            </w:r>
          </w:p>
          <w:p w14:paraId="90010000">
            <w:pPr>
              <w:widowControl w:val="1"/>
              <w:ind/>
              <w:jc w:val="center"/>
              <w:rPr>
                <w:sz w:val="27"/>
              </w:rPr>
            </w:pPr>
            <w:r>
              <w:rPr>
                <w:sz w:val="27"/>
              </w:rPr>
              <w:t>капитальному строительству и дорожному хозяйству)</w:t>
            </w:r>
          </w:p>
        </w:tc>
        <w:tc>
          <w:tcPr>
            <w:tcW w:type="dxa" w:w="3686"/>
            <w:shd w:fill="auto" w:val="clear"/>
          </w:tcPr>
          <w:p w14:paraId="91010000">
            <w:pPr>
              <w:widowControl w:val="1"/>
              <w:ind/>
              <w:jc w:val="both"/>
              <w:rPr>
                <w:sz w:val="27"/>
              </w:rPr>
            </w:pPr>
            <w:r>
              <w:rPr>
                <w:sz w:val="27"/>
              </w:rPr>
              <w:t xml:space="preserve">                       </w:t>
            </w:r>
          </w:p>
          <w:p w14:paraId="92010000">
            <w:pPr>
              <w:widowControl w:val="1"/>
              <w:ind/>
              <w:jc w:val="both"/>
              <w:rPr>
                <w:sz w:val="27"/>
              </w:rPr>
            </w:pPr>
          </w:p>
          <w:p w14:paraId="93010000">
            <w:pPr>
              <w:widowControl w:val="1"/>
              <w:ind/>
              <w:jc w:val="both"/>
              <w:rPr>
                <w:sz w:val="27"/>
              </w:rPr>
            </w:pPr>
          </w:p>
          <w:p w14:paraId="94010000">
            <w:pPr>
              <w:widowControl w:val="1"/>
              <w:ind/>
              <w:jc w:val="right"/>
              <w:rPr>
                <w:sz w:val="27"/>
              </w:rPr>
            </w:pPr>
            <w:r>
              <w:rPr>
                <w:sz w:val="27"/>
              </w:rPr>
              <w:t xml:space="preserve"> Н.Ф. Арнольд</w:t>
            </w:r>
          </w:p>
        </w:tc>
        <w:tc>
          <w:tcPr>
            <w:tcW w:type="dxa" w:w="142"/>
          </w:tcPr>
          <w:p/>
        </w:tc>
        <w:tc>
          <w:tcPr>
            <w:tcW w:type="dxa" w:w="42"/>
          </w:tcPr>
          <w:p/>
        </w:tc>
      </w:tr>
    </w:tbl>
    <w:p w14:paraId="95010000">
      <w:pPr>
        <w:widowControl w:val="1"/>
        <w:tabs>
          <w:tab w:leader="none" w:pos="5250" w:val="left"/>
        </w:tabs>
        <w:ind/>
        <w:jc w:val="both"/>
        <w:rPr>
          <w:sz w:val="27"/>
        </w:rPr>
      </w:pPr>
    </w:p>
    <w:p w14:paraId="96010000">
      <w:pPr>
        <w:widowControl w:val="1"/>
        <w:tabs>
          <w:tab w:leader="none" w:pos="5250" w:val="left"/>
        </w:tabs>
        <w:ind/>
        <w:jc w:val="both"/>
        <w:rPr>
          <w:sz w:val="27"/>
        </w:rPr>
      </w:pPr>
    </w:p>
    <w:sectPr>
      <w:pgSz w:h="16838" w:orient="portrait" w:w="11906"/>
      <w:pgMar w:bottom="1276" w:footer="709" w:gutter="0" w:header="709" w:left="1701" w:right="851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default="1" w:styleId="Style_6_ch" w:type="character">
    <w:name w:val="Normal"/>
    <w:link w:val="Style_6"/>
    <w:rPr>
      <w:rFonts w:ascii="Times New Roman" w:hAnsi="Times New Roman"/>
      <w:sz w:val="20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6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Balloon Text"/>
    <w:basedOn w:val="Style_6"/>
    <w:link w:val="Style_14_ch"/>
    <w:rPr>
      <w:rFonts w:ascii="Tahoma" w:hAnsi="Tahoma"/>
      <w:sz w:val="16"/>
    </w:rPr>
  </w:style>
  <w:style w:styleId="Style_14_ch" w:type="character">
    <w:name w:val="Balloon Text"/>
    <w:basedOn w:val="Style_6_ch"/>
    <w:link w:val="Style_14"/>
    <w:rPr>
      <w:rFonts w:ascii="Tahoma" w:hAnsi="Tahoma"/>
      <w:sz w:val="16"/>
    </w:rPr>
  </w:style>
  <w:style w:styleId="Style_5" w:type="paragraph">
    <w:name w:val="No Spacing"/>
    <w:link w:val="Style_5_ch"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styleId="Style_5_ch" w:type="character">
    <w:name w:val="No Spacing"/>
    <w:link w:val="Style_5"/>
    <w:rPr>
      <w:rFonts w:ascii="Times New Roman" w:hAnsi="Times New Roman"/>
      <w:sz w:val="20"/>
    </w:rPr>
  </w:style>
  <w:style w:styleId="Style_15" w:type="paragraph">
    <w:name w:val="toc 3"/>
    <w:next w:val="Style_6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basedOn w:val="Style_6"/>
    <w:next w:val="Style_6"/>
    <w:link w:val="Style_16_ch"/>
    <w:uiPriority w:val="9"/>
    <w:qFormat/>
    <w:pPr>
      <w:keepNext w:val="1"/>
      <w:widowControl w:val="1"/>
      <w:spacing w:before="120"/>
      <w:ind/>
      <w:jc w:val="center"/>
      <w:outlineLvl w:val="4"/>
    </w:pPr>
    <w:rPr>
      <w:b w:val="1"/>
      <w:sz w:val="28"/>
    </w:rPr>
  </w:style>
  <w:style w:styleId="Style_16_ch" w:type="character">
    <w:name w:val="heading 5"/>
    <w:basedOn w:val="Style_6_ch"/>
    <w:link w:val="Style_16"/>
    <w:rPr>
      <w:b w:val="1"/>
      <w:sz w:val="28"/>
    </w:rPr>
  </w:style>
  <w:style w:styleId="Style_17" w:type="paragraph">
    <w:name w:val="heading 1"/>
    <w:next w:val="Style_6"/>
    <w:link w:val="Style_1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6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4" w:type="paragraph">
    <w:name w:val="ConsPlusNonformat"/>
    <w:link w:val="Style_4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4_ch" w:type="character">
    <w:name w:val="ConsPlusNonformat"/>
    <w:link w:val="Style_4"/>
    <w:rPr>
      <w:rFonts w:ascii="Courier New" w:hAnsi="Courier New"/>
      <w:sz w:val="20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6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6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6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3" w:type="paragraph">
    <w:name w:val="ConsPlusNormal"/>
    <w:link w:val="Style_3_ch"/>
    <w:pPr>
      <w:widowControl w:val="0"/>
      <w:spacing w:after="0" w:line="240" w:lineRule="auto"/>
      <w:ind/>
    </w:pPr>
    <w:rPr>
      <w:rFonts w:ascii="Arial" w:hAnsi="Arial"/>
      <w:sz w:val="20"/>
    </w:rPr>
  </w:style>
  <w:style w:styleId="Style_3_ch" w:type="character">
    <w:name w:val="ConsPlusNormal"/>
    <w:link w:val="Style_3"/>
    <w:rPr>
      <w:rFonts w:ascii="Arial" w:hAnsi="Arial"/>
      <w:sz w:val="20"/>
    </w:rPr>
  </w:style>
  <w:style w:styleId="Style_25" w:type="paragraph">
    <w:name w:val="Iau?iue"/>
    <w:link w:val="Style_25_ch"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styleId="Style_25_ch" w:type="character">
    <w:name w:val="Iau?iue"/>
    <w:link w:val="Style_25"/>
    <w:rPr>
      <w:rFonts w:ascii="Times New Roman" w:hAnsi="Times New Roman"/>
      <w:sz w:val="20"/>
    </w:rPr>
  </w:style>
  <w:style w:styleId="Style_26" w:type="paragraph">
    <w:name w:val="Subtitle"/>
    <w:next w:val="Style_6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next w:val="Style_6"/>
    <w:link w:val="Style_2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basedOn w:val="Style_6"/>
    <w:next w:val="Style_6"/>
    <w:link w:val="Style_28_ch"/>
    <w:uiPriority w:val="9"/>
    <w:qFormat/>
    <w:pPr>
      <w:keepNext w:val="1"/>
      <w:widowControl w:val="1"/>
      <w:ind/>
      <w:jc w:val="center"/>
      <w:outlineLvl w:val="3"/>
    </w:pPr>
    <w:rPr>
      <w:b w:val="1"/>
      <w:sz w:val="36"/>
    </w:rPr>
  </w:style>
  <w:style w:styleId="Style_28_ch" w:type="character">
    <w:name w:val="heading 4"/>
    <w:basedOn w:val="Style_6_ch"/>
    <w:link w:val="Style_28"/>
    <w:rPr>
      <w:b w:val="1"/>
      <w:sz w:val="36"/>
    </w:rPr>
  </w:style>
  <w:style w:styleId="Style_2" w:type="paragraph">
    <w:name w:val="List Paragraph"/>
    <w:basedOn w:val="Style_6"/>
    <w:link w:val="Style_2_ch"/>
    <w:pPr>
      <w:widowControl w:val="1"/>
      <w:ind w:left="720"/>
      <w:contextualSpacing w:val="1"/>
    </w:pPr>
  </w:style>
  <w:style w:styleId="Style_2_ch" w:type="character">
    <w:name w:val="List Paragraph"/>
    <w:basedOn w:val="Style_6_ch"/>
    <w:link w:val="Style_2"/>
  </w:style>
  <w:style w:styleId="Style_29" w:type="paragraph">
    <w:name w:val="heading 2"/>
    <w:next w:val="Style_6"/>
    <w:link w:val="Style_2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2024-05-22T03:44:00Z</dcterms:created>
  <dcterms:modified xsi:type="dcterms:W3CDTF">2026-08-19T06:41:59Z</dcterms:modified>
</cp:coreProperties>
</file>