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№ 1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постановлению</w:t>
      </w:r>
    </w:p>
    <w:p w14:paraId="02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Крапивинского </w:t>
      </w:r>
    </w:p>
    <w:p w14:paraId="03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муниципального округа</w:t>
      </w:r>
    </w:p>
    <w:p w14:paraId="04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 21.04.2025 № 481</w:t>
      </w:r>
    </w:p>
    <w:p w14:paraId="05000000">
      <w:pPr>
        <w:widowControl w:val="0"/>
        <w:ind w:firstLine="567" w:left="0"/>
        <w:jc w:val="center"/>
        <w:rPr>
          <w:rFonts w:ascii="XO Thames" w:hAnsi="XO Thames"/>
          <w:sz w:val="28"/>
        </w:rPr>
      </w:pPr>
    </w:p>
    <w:p w14:paraId="06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sz w:val="28"/>
        </w:rPr>
      </w:pPr>
    </w:p>
    <w:p w14:paraId="07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Положение о реализации программы «Эффективный регион» в деятельности органов местного самоуправления и подведомственных им организациях на территории Крапивинского муниципального округа на 2025-2027 годы</w:t>
      </w:r>
    </w:p>
    <w:p w14:paraId="08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sz w:val="28"/>
        </w:rPr>
      </w:pPr>
    </w:p>
    <w:p w14:paraId="09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1. </w:t>
      </w:r>
      <w:r>
        <w:rPr>
          <w:rFonts w:ascii="XO Thames" w:hAnsi="XO Thames"/>
          <w:b w:val="1"/>
          <w:sz w:val="28"/>
        </w:rPr>
        <w:t>Общие положения</w:t>
      </w:r>
    </w:p>
    <w:p w14:paraId="0A000000">
      <w:pPr>
        <w:widowControl w:val="0"/>
        <w:ind/>
        <w:jc w:val="center"/>
        <w:rPr>
          <w:rFonts w:ascii="XO Thames" w:hAnsi="XO Thames"/>
          <w:b w:val="1"/>
          <w:sz w:val="28"/>
        </w:rPr>
      </w:pPr>
    </w:p>
    <w:p w14:paraId="0B000000">
      <w:pPr>
        <w:widowControl w:val="0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1.1. Настоящее </w:t>
      </w:r>
      <w:r>
        <w:rPr>
          <w:rFonts w:ascii="XO Thames" w:hAnsi="XO Thames"/>
          <w:sz w:val="28"/>
        </w:rPr>
        <w:t>Положение о реализации программы «Эффективный регион» в деятельности органов местного самоуправления и подведомственных им организациях на территории Крапивинского муниципального округа на 2025-2027 годы (далее – Положение) разработано в соответствии со Стратегией социально-экономического развития Крапивинского муниципального округа до 2035 года, утвержденной Решением Совета народных депутатов Крапивинского муниципального района от 03.09.2018 № 129 (далее</w:t>
      </w:r>
      <w:r>
        <w:rPr>
          <w:rFonts w:ascii="XO Thames" w:hAnsi="XO Thames"/>
          <w:i w:val="0"/>
          <w:sz w:val="28"/>
        </w:rPr>
        <w:t xml:space="preserve"> стратегия), постановлением Правительства Кемеровской области – Кузбасса от 07.03.2025 № 112 «О программе «Эффективный регион» на 2025-2027 годы».</w:t>
      </w:r>
    </w:p>
    <w:p w14:paraId="0C000000">
      <w:pPr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О</w:t>
      </w:r>
      <w:r>
        <w:rPr>
          <w:rFonts w:ascii="XO Thames" w:hAnsi="XO Thames"/>
          <w:sz w:val="28"/>
        </w:rPr>
        <w:t>сновные понятия и определения:</w:t>
      </w:r>
      <w:r>
        <w:rPr>
          <w:rFonts w:ascii="XO Thames" w:hAnsi="XO Thames"/>
          <w:sz w:val="28"/>
        </w:rPr>
        <w:t xml:space="preserve"> </w:t>
      </w:r>
    </w:p>
    <w:p w14:paraId="0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бережливое производство – концепция деятельности организации, ориентированная на создание привлекательной ценности для потребителя путем фо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мирования непрерывного потока создания ценности с охватом всех процессов организации и постоянного совершенствования через вовлечение пе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 xml:space="preserve">сонала и устранение всех видов потерь; </w:t>
      </w:r>
    </w:p>
    <w:p w14:paraId="0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бережливый проект – комплекс взаимосвязанных мероприятий, основанных на принципах бережливого производства и клиентоцентричности, для получения уникальных результатов в условиях временных и ресурсных ограничений;</w:t>
      </w:r>
    </w:p>
    <w:p w14:paraId="0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 государственная услуга – деятельность органа исполнительной власти, выражающаяся в совершении действий и (или) принятии решений, вл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кущих возникновение, изменение или прекращение правоотношений или возникновение документированной информации (документа) в связи с обращением гражданина или организации в целях реализации их прав, законных интересов либо исполнения возложенных на них нормативными правовыми актами обязанн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стей; </w:t>
      </w:r>
    </w:p>
    <w:p w14:paraId="10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 xml:space="preserve">жизненная ситуация – наличие или наступление обстоятельств, влекущих для клиента возможность или необходимость взаимодействовать с органами власти и уполномоченными организациями в целях получения услуг и сервисов; </w:t>
      </w:r>
    </w:p>
    <w:p w14:paraId="1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клиент – физическое или юридическое лицо, взаимодействующее с государством или муниципальным образованием с целью удовлетворения своих п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требностей; </w:t>
      </w:r>
    </w:p>
    <w:p w14:paraId="1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 xml:space="preserve">клиентоцентричность – концепция развития организации для удовлетворения интересов и потребностей клиента; </w:t>
      </w:r>
    </w:p>
    <w:p w14:paraId="13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клиентоцентричный подход – подход в государственном и муниципальном управлении, основанный на выявлении и изучении потребностей клиента, постоянном улучшении взаимодействия органов власти и уполномоченных организаций с клиентом для удовлетворения его потребностей с намерением пр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взойти его ожидания; </w:t>
      </w:r>
    </w:p>
    <w:p w14:paraId="14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пальные услуги, по решению вопросов местного значения; </w:t>
      </w:r>
    </w:p>
    <w:p w14:paraId="15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образец лучших практик – организация, демонстрирующая уникальный успешный практический опыт применения принципов и инструментов клиентоцентричности, технологий бережливого производства, способная представить оптимальный способ достижения цели, доказавший свою эффективность, который может быть использован в аналогичных процессах, пригоден для адаптации, распространения и внедрения в деятельность других организаций и явл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>ется примером для них;</w:t>
      </w:r>
    </w:p>
    <w:p w14:paraId="16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 профиль клиента – записи о клиентах, которые используются для определения групп клиентов, схем поведения и предпочтений этих групп с целью улучшения клиентского опыта; профиль клиентского сегмента – совокупность фактов, сведений и общих характеристик, присущих группе клиентов, схожих по какому-либо признаку или совокупности признаков;</w:t>
      </w:r>
    </w:p>
    <w:p w14:paraId="17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 реинжиниринг процессов – изменение (перепроектирование) процессов, составляющих деятельность органа исполнительной власти, в том числе в части предоставления государственных услуг, оказания мер государственной поддержки, осуществления государственного контроля (надзора), работы с обращениями граждан и организаций, запросами, предоставления информации о деятельности ведомства, взаимодействия с внутренним клиентом; </w:t>
      </w:r>
    </w:p>
    <w:p w14:paraId="18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рейтингование – процедура присвоения рейтингов, представляющих собой индивидуальную оценку внедрения клиентоцентричного подхода в государственное и муниципальное управление и уровня развития эффективного упра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ления; </w:t>
      </w:r>
    </w:p>
    <w:p w14:paraId="19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 xml:space="preserve">сервисы – предоставляемые клиенту цифровыми системами органов власти и уполномоченных организаций услуги, их части; </w:t>
      </w:r>
    </w:p>
    <w:p w14:paraId="1A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 xml:space="preserve">удовлетворенность клиента – измеримое восприятие клиентом степени выполнения его ожиданий; </w:t>
      </w:r>
    </w:p>
    <w:p w14:paraId="1B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услуги – деятельность, связанная с реализацией государственных и муниципальных услуг в значении Федерального закона от 27.07.2010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№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10-ФЗ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организации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предоставления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государственных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униципальных услуг», либо иных работ и услуг,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редоставляемых государственными и муниципальными учреждениями, либо услуг, предоставляемых иными орган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зациями, уполномоченными в соответствии с законодательством Российской Федерации, в том числе на основании договора, предо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тавлять услуги клиенту;</w:t>
      </w:r>
    </w:p>
    <w:p w14:paraId="1C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э</w:t>
      </w:r>
      <w:r>
        <w:rPr>
          <w:rFonts w:ascii="XO Thames" w:hAnsi="XO Thames"/>
          <w:sz w:val="28"/>
        </w:rPr>
        <w:t>ффективное управление – система организации деятельности управленческих структур с применением принципов и инструментов клиентоцентричности и бережливого производства, основанная на обеспечении эффективного и комфортного взаимодействия человека и государства за счет анализа актуальных потребностей и клиентского опыта человека.</w:t>
      </w:r>
    </w:p>
    <w:p w14:paraId="1D000000">
      <w:pPr>
        <w:widowControl w:val="0"/>
        <w:ind w:firstLine="709" w:left="0" w:right="-113"/>
        <w:jc w:val="both"/>
        <w:rPr>
          <w:rFonts w:ascii="XO Thames" w:hAnsi="XO Thames"/>
          <w:sz w:val="28"/>
        </w:rPr>
      </w:pPr>
    </w:p>
    <w:p w14:paraId="1E000000">
      <w:pPr>
        <w:widowControl w:val="0"/>
        <w:ind/>
        <w:jc w:val="center"/>
        <w:rPr>
          <w:rFonts w:ascii="XO Thames" w:hAnsi="XO Thames"/>
          <w:sz w:val="28"/>
        </w:rPr>
      </w:pPr>
    </w:p>
    <w:p w14:paraId="1F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2. </w:t>
      </w:r>
      <w:r>
        <w:rPr>
          <w:rFonts w:ascii="XO Thames" w:hAnsi="XO Thames"/>
          <w:b w:val="1"/>
          <w:sz w:val="28"/>
        </w:rPr>
        <w:t xml:space="preserve">Цель, задачи, участники реализации программы  </w:t>
      </w:r>
    </w:p>
    <w:p w14:paraId="20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и их функции</w:t>
      </w:r>
    </w:p>
    <w:p w14:paraId="21000000">
      <w:pPr>
        <w:widowControl w:val="0"/>
        <w:ind/>
        <w:jc w:val="center"/>
        <w:rPr>
          <w:rFonts w:ascii="XO Thames" w:hAnsi="XO Thames"/>
          <w:sz w:val="28"/>
        </w:rPr>
      </w:pPr>
    </w:p>
    <w:p w14:paraId="22000000">
      <w:pPr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 Цель программы – внедрение </w:t>
      </w:r>
      <w:r>
        <w:rPr>
          <w:rFonts w:ascii="XO Thames" w:hAnsi="XO Thames"/>
          <w:sz w:val="28"/>
        </w:rPr>
        <w:t>клиентоцентричного</w:t>
      </w:r>
      <w:r>
        <w:rPr>
          <w:rFonts w:ascii="XO Thames" w:hAnsi="XO Thames"/>
          <w:sz w:val="28"/>
        </w:rPr>
        <w:t xml:space="preserve"> подхода и бережливых технологий в деятельность органов местного самоуправления и подведомственных им организаций для повышения их эффективности и улучшения имиджа.</w:t>
      </w:r>
    </w:p>
    <w:p w14:paraId="23000000">
      <w:pPr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 </w:t>
      </w:r>
      <w:r>
        <w:rPr>
          <w:rFonts w:ascii="XO Thames" w:hAnsi="XO Thames"/>
          <w:sz w:val="28"/>
        </w:rPr>
        <w:t>Участники реализации программы – органы местного самоуправления и подведомственные им организации (далее – участники реализации программы).</w:t>
      </w:r>
    </w:p>
    <w:p w14:paraId="24000000">
      <w:pPr>
        <w:widowControl w:val="0"/>
        <w:ind w:firstLine="709" w:left="0" w:right="-11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Основными задачами и функциями участников реализации программы являются:</w:t>
      </w:r>
    </w:p>
    <w:p w14:paraId="25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внедрение клиентоцентричного подхода и бережливых технологий, реализация эффективного управл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ния;  </w:t>
      </w:r>
      <w:r>
        <w:rPr>
          <w:rFonts w:ascii="XO Thames" w:hAnsi="XO Thames"/>
          <w:sz w:val="28"/>
        </w:rPr>
        <w:t xml:space="preserve"> </w:t>
      </w:r>
    </w:p>
    <w:p w14:paraId="26000000">
      <w:pPr>
        <w:widowControl w:val="0"/>
        <w:spacing w:after="28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проектирование новых услуг и сервисов;  </w:t>
      </w:r>
    </w:p>
    <w:p w14:paraId="27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формирование, утверждение и ведение реестра межведомственных и внутриведомственных проце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сов; </w:t>
      </w:r>
    </w:p>
    <w:p w14:paraId="28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определение порядка взаимодействия с клиентами, формирование, утверждение и ведение перечня точек взаимодействия с клиентами; </w:t>
      </w:r>
    </w:p>
    <w:p w14:paraId="29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проведение сегментации клиентов; </w:t>
      </w:r>
    </w:p>
    <w:p w14:paraId="2A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проведение оценки удовлетворенности клиентов предоставлением услуг и сервисов, обеспечение функционирования системы обратной св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зи с клиентами; </w:t>
      </w:r>
    </w:p>
    <w:p w14:paraId="2B000000">
      <w:pPr>
        <w:widowControl w:val="0"/>
        <w:spacing w:after="5"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разработка и внедрение системы мотивации клиентоцентричного поведения сотрудников, обучение сотрудников; </w:t>
      </w:r>
    </w:p>
    <w:p w14:paraId="2C000000">
      <w:pPr>
        <w:widowControl w:val="0"/>
        <w:spacing w:line="264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реализация, внедрение и тиражирование бережливых проектов;  </w:t>
      </w:r>
    </w:p>
    <w:p w14:paraId="2D000000">
      <w:pPr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- формирование и утверждение планов мероприятий по внедрению кл</w:t>
      </w:r>
      <w:r>
        <w:rPr>
          <w:rFonts w:ascii="XO Thames" w:hAnsi="XO Thames"/>
          <w:sz w:val="28"/>
        </w:rPr>
        <w:t>ие</w:t>
      </w:r>
      <w:r>
        <w:rPr>
          <w:rFonts w:ascii="XO Thames" w:hAnsi="XO Thames"/>
          <w:sz w:val="28"/>
        </w:rPr>
        <w:t xml:space="preserve">нтоцентричного подхода </w:t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sz w:val="28"/>
        </w:rPr>
        <w:t>реализации эффективного управления.</w:t>
      </w:r>
    </w:p>
    <w:p w14:paraId="2E000000">
      <w:pPr>
        <w:widowControl w:val="0"/>
        <w:ind w:firstLine="709" w:left="0" w:right="-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В ходе реализации программы решаются следующие</w:t>
      </w:r>
      <w:r>
        <w:rPr>
          <w:rFonts w:ascii="XO Thames" w:hAnsi="XO Thames"/>
          <w:sz w:val="28"/>
        </w:rPr>
        <w:t xml:space="preserve"> задач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: </w:t>
      </w:r>
    </w:p>
    <w:p w14:paraId="2F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обеспечение единого подхода по внедрению клиентоцентричности и бережливых технологий, реализация эффективного управления</w:t>
      </w:r>
      <w:r>
        <w:rPr>
          <w:rFonts w:ascii="XO Thames" w:hAnsi="XO Thames"/>
          <w:sz w:val="28"/>
        </w:rPr>
        <w:t xml:space="preserve">; </w:t>
      </w:r>
    </w:p>
    <w:p w14:paraId="30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сокращение потерь времени и ресурсов при взаимодействии граждан </w:t>
      </w:r>
      <w:r>
        <w:rPr>
          <w:rFonts w:ascii="XO Thames" w:hAnsi="XO Thames"/>
          <w:sz w:val="28"/>
        </w:rPr>
        <w:t>с органами местного самоуправления и подведомственными им организациями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 получении государственных и муниципальных услуг за счет оптимизации внутренних и внешних</w:t>
      </w:r>
      <w:r>
        <w:rPr>
          <w:rFonts w:ascii="XO Thames" w:hAnsi="XO Thames"/>
          <w:color w:val="FB290D"/>
          <w:sz w:val="28"/>
        </w:rPr>
        <w:t xml:space="preserve"> </w:t>
      </w:r>
      <w:r>
        <w:rPr>
          <w:rFonts w:ascii="XO Thames" w:hAnsi="XO Thames"/>
          <w:sz w:val="28"/>
        </w:rPr>
        <w:t>рабочих проце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сов; </w:t>
      </w:r>
    </w:p>
    <w:p w14:paraId="31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повышение удовлетворенности граждан качеством получения государственных и муниципальных услуг; </w:t>
      </w:r>
    </w:p>
    <w:p w14:paraId="32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обучение сотрудников, распространение новой культуры управления клиентским опытом, связанной с формированием ценностей клиентоцентричного поведения; </w:t>
      </w:r>
    </w:p>
    <w:p w14:paraId="33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вовлечение сотрудников в непрерывное совершенствование рабочих процессов, поощрение их инициативы; </w:t>
      </w:r>
    </w:p>
    <w:p w14:paraId="34000000">
      <w:pPr>
        <w:widowControl w:val="0"/>
        <w:spacing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реализация, внедрение и тиражирование бережливых проектов;   </w:t>
      </w:r>
    </w:p>
    <w:p w14:paraId="35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организация, проведение и участие в конкурсах лучших практик применения технологий бережл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вого производства; </w:t>
      </w:r>
    </w:p>
    <w:p w14:paraId="36000000">
      <w:pPr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- выполнение критериев</w:t>
      </w:r>
      <w:r>
        <w:rPr>
          <w:rFonts w:ascii="XO Thames" w:hAnsi="XO Thames"/>
          <w:color w:val="FB290D"/>
          <w:sz w:val="28"/>
        </w:rPr>
        <w:t xml:space="preserve"> </w:t>
      </w:r>
      <w:r>
        <w:rPr>
          <w:rFonts w:ascii="XO Thames" w:hAnsi="XO Thames"/>
          <w:sz w:val="28"/>
        </w:rPr>
        <w:t>внедрения клиентоцентричного подхода и развития эффективного управл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ния.</w:t>
      </w:r>
    </w:p>
    <w:p w14:paraId="37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Основными функциями отдела экономического развития администрации Крапивинского муниципального округа, </w:t>
      </w:r>
      <w:r>
        <w:rPr>
          <w:rFonts w:ascii="XO Thames" w:hAnsi="XO Thames"/>
          <w:sz w:val="28"/>
        </w:rPr>
        <w:t xml:space="preserve">в рамках реализации программы, </w:t>
      </w:r>
      <w:r>
        <w:rPr>
          <w:rFonts w:ascii="XO Thames" w:hAnsi="XO Thames"/>
          <w:sz w:val="28"/>
        </w:rPr>
        <w:t xml:space="preserve">являются: </w:t>
      </w:r>
    </w:p>
    <w:p w14:paraId="38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осуществление организационных мероприятий и сопровождение реализации эффективного управления и внедрения клиентоцентричного подхода </w:t>
      </w:r>
      <w:r>
        <w:rPr>
          <w:rFonts w:ascii="XO Thames" w:hAnsi="XO Thames"/>
          <w:sz w:val="28"/>
        </w:rPr>
        <w:t>в органах местного самоуправления</w:t>
      </w:r>
      <w:r>
        <w:rPr>
          <w:rFonts w:ascii="XO Thames" w:hAnsi="XO Thames"/>
          <w:sz w:val="28"/>
        </w:rPr>
        <w:t xml:space="preserve"> и подведомственных им организациях</w:t>
      </w:r>
      <w:r>
        <w:rPr>
          <w:rFonts w:ascii="XO Thames" w:hAnsi="XO Thames"/>
          <w:sz w:val="28"/>
        </w:rPr>
        <w:t>;</w:t>
      </w:r>
    </w:p>
    <w:p w14:paraId="39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– разработка плана, определение целевых показателей, мониторинг его выполнения;</w:t>
      </w:r>
    </w:p>
    <w:p w14:paraId="3A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координация деятельности участников реализации программы;</w:t>
      </w:r>
    </w:p>
    <w:p w14:paraId="3B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консультирование по вопросам внедрения клиентоцентричного подхода и реализации эффективного управления;</w:t>
      </w:r>
      <w:r>
        <w:rPr>
          <w:rFonts w:ascii="XO Thames" w:hAnsi="XO Thames"/>
          <w:sz w:val="28"/>
        </w:rPr>
        <w:t xml:space="preserve"> </w:t>
      </w:r>
    </w:p>
    <w:p w14:paraId="3C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участие в оценке внедрения клиентоцентричного подхода </w:t>
      </w:r>
      <w:r>
        <w:rPr>
          <w:rFonts w:ascii="XO Thames" w:hAnsi="XO Thames"/>
          <w:sz w:val="28"/>
        </w:rPr>
        <w:t>в органах местного самоуправления</w:t>
      </w:r>
      <w:r>
        <w:rPr>
          <w:rFonts w:ascii="XO Thames" w:hAnsi="XO Thames"/>
          <w:sz w:val="28"/>
        </w:rPr>
        <w:t xml:space="preserve"> и подведомственных им организациях,</w:t>
      </w:r>
      <w:r>
        <w:rPr>
          <w:rFonts w:ascii="XO Thames" w:hAnsi="XO Thames"/>
          <w:sz w:val="28"/>
        </w:rPr>
        <w:t xml:space="preserve"> проведени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рейтингования;</w:t>
      </w:r>
      <w:r>
        <w:rPr>
          <w:rFonts w:ascii="XO Thames" w:hAnsi="XO Thames"/>
          <w:color w:val="FB290D"/>
          <w:sz w:val="28"/>
        </w:rPr>
        <w:t xml:space="preserve"> </w:t>
      </w:r>
    </w:p>
    <w:p w14:paraId="3D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организация участия</w:t>
      </w:r>
      <w:r>
        <w:rPr>
          <w:rFonts w:ascii="XO Thames" w:hAnsi="XO Thames"/>
          <w:sz w:val="28"/>
        </w:rPr>
        <w:t xml:space="preserve"> органов местного самоуправления</w:t>
      </w:r>
      <w:r>
        <w:rPr>
          <w:rFonts w:ascii="XO Thames" w:hAnsi="XO Thames"/>
          <w:sz w:val="28"/>
        </w:rPr>
        <w:t xml:space="preserve"> и подведомственных им организаций,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кон</w:t>
      </w:r>
      <w:r>
        <w:rPr>
          <w:rFonts w:ascii="XO Thames" w:hAnsi="XO Thames"/>
          <w:sz w:val="28"/>
        </w:rPr>
        <w:t>курсе</w:t>
      </w:r>
      <w:r>
        <w:rPr>
          <w:rFonts w:ascii="XO Thames" w:hAnsi="XO Thames"/>
          <w:sz w:val="28"/>
        </w:rPr>
        <w:t xml:space="preserve"> лучших практик применения технологий бережливого производства; </w:t>
      </w:r>
    </w:p>
    <w:p w14:paraId="3E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осуществление </w:t>
      </w:r>
      <w:r>
        <w:rPr>
          <w:rFonts w:ascii="XO Thames" w:hAnsi="XO Thames"/>
          <w:sz w:val="28"/>
        </w:rPr>
        <w:t>организации обучения</w:t>
      </w:r>
      <w:r>
        <w:rPr>
          <w:rFonts w:ascii="XO Thames" w:hAnsi="XO Thames"/>
          <w:sz w:val="28"/>
        </w:rPr>
        <w:t xml:space="preserve"> сотрудников применению бережливых технологий, повышению качества взаимодействия с клиентами, успешным практикам эффективного управления, улучшения качества клиентского опыта в соответствии с ежегодным тематическим планом; </w:t>
      </w:r>
    </w:p>
    <w:p w14:paraId="3F000000">
      <w:pPr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- выработка рекомендаций и предложений, обеспечивающих принятие оптимальных решений при реализации эффективного управления и внедрении клиентоцентричного подхода и бережливых технологий</w:t>
      </w:r>
      <w:r>
        <w:rPr>
          <w:rFonts w:ascii="XO Thames" w:hAnsi="XO Thames"/>
          <w:sz w:val="28"/>
        </w:rPr>
        <w:t>.</w:t>
      </w:r>
    </w:p>
    <w:p w14:paraId="40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</w:t>
      </w:r>
      <w:r>
        <w:rPr>
          <w:rFonts w:ascii="XO Thames" w:hAnsi="XO Thames"/>
          <w:sz w:val="28"/>
        </w:rPr>
        <w:t xml:space="preserve"> При реализации основных функций </w:t>
      </w:r>
      <w:r>
        <w:rPr>
          <w:rFonts w:ascii="XO Thames" w:hAnsi="XO Thames"/>
          <w:sz w:val="28"/>
        </w:rPr>
        <w:t>отдел</w:t>
      </w:r>
      <w:r>
        <w:rPr>
          <w:rFonts w:ascii="XO Thames" w:hAnsi="XO Thames"/>
          <w:sz w:val="28"/>
        </w:rPr>
        <w:t xml:space="preserve"> экономического развития администрации Крапивинского муниципального округа </w:t>
      </w:r>
      <w:r>
        <w:rPr>
          <w:rFonts w:ascii="XO Thames" w:hAnsi="XO Thames"/>
          <w:sz w:val="28"/>
        </w:rPr>
        <w:t>име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т право: </w:t>
      </w:r>
    </w:p>
    <w:p w14:paraId="41000000">
      <w:pPr>
        <w:widowControl w:val="0"/>
        <w:spacing w:after="5" w:line="264" w:lineRule="auto"/>
        <w:ind w:firstLine="709" w:left="0"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запрашивать и получать в установленном порядке необходимые материалы и информацию в органах местного самоуправления и подведомственных им организаций</w:t>
      </w:r>
      <w:r>
        <w:rPr>
          <w:rFonts w:ascii="XO Thames" w:hAnsi="XO Thames"/>
          <w:sz w:val="28"/>
        </w:rPr>
        <w:t xml:space="preserve"> по вопросам реализации эффективного управления, внедрения </w:t>
      </w:r>
      <w:r>
        <w:rPr>
          <w:rFonts w:ascii="XO Thames" w:hAnsi="XO Thames"/>
          <w:sz w:val="28"/>
        </w:rPr>
        <w:t>клиентоцентричного подхода и бережливых техн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логий;  </w:t>
      </w:r>
      <w:r>
        <w:rPr>
          <w:rFonts w:ascii="XO Thames" w:hAnsi="XO Thames"/>
          <w:color w:val="FB290D"/>
          <w:sz w:val="28"/>
        </w:rPr>
        <w:t xml:space="preserve"> </w:t>
      </w:r>
    </w:p>
    <w:p w14:paraId="42000000">
      <w:pPr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- анализировать результаты внедрения клиентоцентричности и бережливых технологий, давать предложения и рекомендации по совершенствованию процессов эффективного управления, осуществлять мониторинг их использов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ния.</w:t>
      </w:r>
      <w:r>
        <w:rPr>
          <w:rFonts w:ascii="XO Thames" w:hAnsi="XO Thames"/>
          <w:color w:val="FB290D"/>
          <w:sz w:val="28"/>
        </w:rPr>
        <w:t xml:space="preserve"> </w:t>
      </w:r>
    </w:p>
    <w:p w14:paraId="43000000">
      <w:pPr>
        <w:rPr>
          <w:rFonts w:ascii="XO Thames" w:hAnsi="XO Thames"/>
        </w:rPr>
      </w:pPr>
    </w:p>
    <w:p w14:paraId="44000000">
      <w:pPr>
        <w:widowControl w:val="0"/>
        <w:ind w:firstLine="708" w:left="0"/>
        <w:jc w:val="both"/>
        <w:rPr>
          <w:rFonts w:ascii="XO Thames" w:hAnsi="XO Thames"/>
          <w:sz w:val="28"/>
        </w:rPr>
      </w:pPr>
    </w:p>
    <w:p w14:paraId="45000000">
      <w:pPr>
        <w:widowControl w:val="0"/>
        <w:ind w:right="-11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</w:p>
    <w:p w14:paraId="46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7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8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9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A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B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C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D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E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4F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0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1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2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3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4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5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6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7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8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9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A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B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C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D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E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5F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60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61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62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63000000">
      <w:pPr>
        <w:widowControl w:val="0"/>
        <w:ind w:right="-113"/>
        <w:jc w:val="both"/>
        <w:rPr>
          <w:rFonts w:ascii="XO Thames" w:hAnsi="XO Thames"/>
          <w:sz w:val="28"/>
        </w:rPr>
      </w:pPr>
    </w:p>
    <w:p w14:paraId="64000000">
      <w:pPr>
        <w:sectPr>
          <w:pgSz w:h="16838" w:orient="portrait" w:w="11906"/>
          <w:pgMar w:bottom="567" w:footer="709" w:gutter="0" w:header="709" w:left="1985" w:right="1134" w:top="851"/>
        </w:sectPr>
      </w:pPr>
    </w:p>
    <w:p w14:paraId="65000000">
      <w:pPr>
        <w:widowControl w:val="0"/>
        <w:ind w:right="-113"/>
        <w:jc w:val="center"/>
        <w:rPr>
          <w:rFonts w:ascii="XO Thames" w:hAnsi="XO Thames"/>
          <w:i w:val="1"/>
          <w:sz w:val="28"/>
          <w:u w:val="single"/>
        </w:rPr>
      </w:pPr>
    </w:p>
    <w:p w14:paraId="66000000">
      <w:pPr>
        <w:widowControl w:val="0"/>
        <w:ind w:hanging="3402" w:left="6947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Приложение № 2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постановлению</w:t>
      </w:r>
    </w:p>
    <w:p w14:paraId="67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Крапивинского </w:t>
      </w:r>
    </w:p>
    <w:p w14:paraId="68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муниципального округа</w:t>
      </w:r>
    </w:p>
    <w:p w14:paraId="69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 21.04.2025 № 481</w:t>
      </w:r>
    </w:p>
    <w:p w14:paraId="6A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</w:p>
    <w:p w14:paraId="6B000000">
      <w:pPr>
        <w:widowControl w:val="0"/>
        <w:ind w:firstLine="426" w:left="-426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План реализации программы «Эффективный регион» </w:t>
      </w:r>
      <w:r>
        <w:rPr>
          <w:rFonts w:ascii="XO Thames" w:hAnsi="XO Thames"/>
          <w:b w:val="1"/>
          <w:sz w:val="28"/>
        </w:rPr>
        <w:t>в деятельности органов местного самоуправления и подведомственных им организациях на территории Крапивинского муниципального округа на 2025-2027 годы</w:t>
      </w:r>
      <w:r>
        <w:rPr>
          <w:rFonts w:ascii="XO Thames" w:hAnsi="XO Thames"/>
          <w:b w:val="1"/>
          <w:sz w:val="28"/>
        </w:rPr>
        <w:t xml:space="preserve"> </w:t>
      </w:r>
    </w:p>
    <w:p w14:paraId="6C000000">
      <w:pPr>
        <w:widowControl w:val="0"/>
        <w:ind w:firstLine="426" w:left="-426"/>
        <w:jc w:val="center"/>
        <w:rPr>
          <w:rFonts w:ascii="XO Thames" w:hAnsi="XO Thames"/>
          <w:b w:val="1"/>
          <w:i w:val="0"/>
          <w:sz w:val="28"/>
        </w:rPr>
      </w:pPr>
      <w:r>
        <w:rPr>
          <w:rFonts w:ascii="XO Thames" w:hAnsi="XO Thames"/>
          <w:b w:val="1"/>
          <w:i w:val="0"/>
          <w:sz w:val="28"/>
        </w:rPr>
        <w:t xml:space="preserve"> </w:t>
      </w:r>
    </w:p>
    <w:tbl>
      <w:tblPr>
        <w:tblStyle w:val="Style_1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5669"/>
        <w:gridCol w:w="1701"/>
        <w:gridCol w:w="1417"/>
        <w:gridCol w:w="1417"/>
        <w:gridCol w:w="1417"/>
        <w:gridCol w:w="266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№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Единица измерения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Целевое значение на 202</w:t>
            </w:r>
            <w:r>
              <w:rPr>
                <w:rFonts w:ascii="XO Thames" w:hAnsi="XO Thames"/>
                <w:b w:val="1"/>
                <w:sz w:val="24"/>
              </w:rPr>
              <w:t>5</w:t>
            </w:r>
            <w:r>
              <w:rPr>
                <w:rFonts w:ascii="XO Thames" w:hAnsi="XO Thames"/>
                <w:b w:val="1"/>
                <w:sz w:val="24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Целевое значение на 202</w:t>
            </w:r>
            <w:r>
              <w:rPr>
                <w:rFonts w:ascii="XO Thames" w:hAnsi="XO Thames"/>
                <w:b w:val="1"/>
                <w:sz w:val="24"/>
              </w:rPr>
              <w:t>6</w:t>
            </w:r>
            <w:r>
              <w:rPr>
                <w:rFonts w:ascii="XO Thames" w:hAnsi="XO Thames"/>
                <w:b w:val="1"/>
                <w:sz w:val="24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Целевое значение на 202</w:t>
            </w:r>
            <w:r>
              <w:rPr>
                <w:rFonts w:ascii="XO Thames" w:hAnsi="XO Thames"/>
                <w:b w:val="1"/>
                <w:sz w:val="24"/>
              </w:rPr>
              <w:t>7</w:t>
            </w:r>
            <w:r>
              <w:rPr>
                <w:rFonts w:ascii="XO Thames" w:hAnsi="XO Thames"/>
                <w:b w:val="1"/>
                <w:sz w:val="24"/>
              </w:rPr>
              <w:t xml:space="preserve"> год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Ответственные исполнители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2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ind/>
              <w:jc w:val="center"/>
              <w:rPr>
                <w:rFonts w:ascii="XO Thames" w:hAnsi="XO Thames"/>
                <w:i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Проектная деятельность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Разработка паспортов проектов по оптимизации процессов работ и услуг.</w:t>
            </w:r>
          </w:p>
          <w:p w14:paraId="7800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Реализация проектов по оптимизации процессов работ и услуг.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line="264" w:lineRule="auto"/>
              <w:ind w:firstLine="0" w:left="-1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единиц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line="264" w:lineRule="auto"/>
              <w:ind w:firstLine="0" w:left="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нее </w:t>
            </w:r>
          </w:p>
          <w:p w14:paraId="7B000000">
            <w:pPr>
              <w:widowControl w:val="0"/>
              <w:spacing w:line="264" w:lineRule="auto"/>
              <w:ind w:firstLine="0" w:left="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line="264" w:lineRule="auto"/>
              <w:ind w:firstLine="0" w:left="3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нее 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line="264" w:lineRule="auto"/>
              <w:ind w:firstLine="0" w:left="1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нее </w:t>
            </w:r>
          </w:p>
          <w:p w14:paraId="7E000000">
            <w:pPr>
              <w:widowControl w:val="0"/>
              <w:spacing w:line="264" w:lineRule="auto"/>
              <w:ind w:firstLine="0" w:left="1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Органы местного самоуправления Крапивинского муниципального округа и подведомственные им организации </w:t>
            </w:r>
          </w:p>
          <w:p w14:paraId="80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line="264" w:lineRule="auto"/>
              <w:ind w:firstLine="0" w:left="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рейтинг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вания (</w:t>
            </w:r>
            <w:r>
              <w:rPr>
                <w:rFonts w:ascii="XO Thames" w:hAnsi="XO Thames"/>
                <w:sz w:val="24"/>
              </w:rPr>
              <w:t>ра</w:t>
            </w:r>
            <w:r>
              <w:rPr>
                <w:rFonts w:ascii="XO Thames" w:hAnsi="XO Thames"/>
                <w:sz w:val="24"/>
              </w:rPr>
              <w:t>з</w:t>
            </w:r>
            <w:r>
              <w:rPr>
                <w:rFonts w:ascii="XO Thames" w:hAnsi="XO Thames"/>
                <w:sz w:val="24"/>
              </w:rPr>
              <w:t>витие эффективного упра</w:t>
            </w:r>
            <w:r>
              <w:rPr>
                <w:rFonts w:ascii="XO Thames" w:hAnsi="XO Thames"/>
                <w:sz w:val="24"/>
              </w:rPr>
              <w:t>в</w:t>
            </w:r>
            <w:r>
              <w:rPr>
                <w:rFonts w:ascii="XO Thames" w:hAnsi="XO Thames"/>
                <w:sz w:val="24"/>
              </w:rPr>
              <w:t xml:space="preserve">ления, выявление лучших практик применения бережливых технологий) </w:t>
            </w:r>
          </w:p>
          <w:p w14:paraId="83000000">
            <w:pPr>
              <w:widowControl w:val="0"/>
              <w:spacing w:line="264" w:lineRule="auto"/>
              <w:ind w:firstLine="0" w:left="7"/>
              <w:rPr>
                <w:rFonts w:ascii="XO Thames" w:hAnsi="XO Thames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line="264" w:lineRule="auto"/>
              <w:ind w:firstLine="0" w:left="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line="264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Автономная некоммерческая </w:t>
            </w:r>
          </w:p>
          <w:p w14:paraId="8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организация «Центр  </w:t>
            </w:r>
          </w:p>
          <w:p w14:paraId="8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компетенций Кузбасса»</w:t>
            </w:r>
          </w:p>
          <w:p w14:paraId="8B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line="264" w:lineRule="auto"/>
              <w:ind w:firstLine="0" w:left="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Стимулирование сотрудников в рамках внедрения системы бережливого производства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line="264" w:lineRule="auto"/>
              <w:ind w:firstLine="0" w:left="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line="264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Органы местного самоуправления Крапивинского муниципального округа и подведомственные им организации </w:t>
            </w:r>
          </w:p>
          <w:p w14:paraId="93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2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и обучение сотрудников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сотрудн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ков, прошедших обучение пр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менению бережливых те</w:t>
            </w:r>
            <w:r>
              <w:rPr>
                <w:rFonts w:ascii="XO Thames" w:hAnsi="XO Thames"/>
                <w:sz w:val="24"/>
              </w:rPr>
              <w:t>х</w:t>
            </w:r>
            <w:r>
              <w:rPr>
                <w:rFonts w:ascii="XO Thames" w:hAnsi="XO Thames"/>
                <w:sz w:val="24"/>
              </w:rPr>
              <w:t>нологий, повышению кач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ства взаимодействия с клиентами, успешным практикам эффективн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управления, улучшения  качества кл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ентского опыта </w:t>
            </w:r>
            <w:r>
              <w:rPr>
                <w:rFonts w:ascii="XO Thames" w:hAnsi="XO Thames"/>
                <w:sz w:val="24"/>
              </w:rPr>
              <w:t>(в том числе на фа</w:t>
            </w:r>
            <w:r>
              <w:rPr>
                <w:rFonts w:ascii="XO Thames" w:hAnsi="XO Thames"/>
                <w:sz w:val="24"/>
              </w:rPr>
              <w:t>б</w:t>
            </w:r>
            <w:r>
              <w:rPr>
                <w:rFonts w:ascii="XO Thames" w:hAnsi="XO Thames"/>
                <w:sz w:val="24"/>
              </w:rPr>
              <w:t>рике офисных проце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4"/>
              </w:rPr>
              <w:t xml:space="preserve">сов)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line="264" w:lineRule="auto"/>
              <w:ind w:firstLine="0" w:left="1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сотру</w:t>
            </w:r>
            <w:r>
              <w:rPr>
                <w:rFonts w:ascii="XO Thames" w:hAnsi="XO Thames"/>
                <w:sz w:val="24"/>
              </w:rPr>
              <w:t>д</w:t>
            </w:r>
            <w:r>
              <w:rPr>
                <w:rFonts w:ascii="XO Thames" w:hAnsi="XO Thames"/>
                <w:sz w:val="24"/>
              </w:rPr>
              <w:t>ников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line="264" w:lineRule="auto"/>
              <w:ind w:firstLine="0" w:left="-1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нее 2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line="264" w:lineRule="auto"/>
              <w:ind w:firstLine="0" w:left="5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нее 3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line="264" w:lineRule="auto"/>
              <w:ind w:firstLine="0" w:left="3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нее 4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Органы местного самоуправления Крапивинского муниципального округа и подведомственные им организации </w:t>
            </w:r>
          </w:p>
          <w:p w14:paraId="9D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line="264" w:lineRule="auto"/>
              <w:ind w:firstLine="0" w:left="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круглых столов (семинаров) по вопр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сам применения ценн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стей, принципов и инстр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ментов бережливого пр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изводства и клиентоце</w:t>
            </w:r>
            <w:r>
              <w:rPr>
                <w:rFonts w:ascii="XO Thames" w:hAnsi="XO Thames"/>
                <w:sz w:val="24"/>
              </w:rPr>
              <w:t>н</w:t>
            </w:r>
            <w:r>
              <w:rPr>
                <w:rFonts w:ascii="XO Thames" w:hAnsi="XO Thames"/>
                <w:sz w:val="24"/>
              </w:rPr>
              <w:t xml:space="preserve">тричности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line="264" w:lineRule="auto"/>
              <w:ind w:firstLine="0" w:left="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line="264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Органы местного самоуправления Крапивинского муниципального округа и подведомственные им организации </w:t>
            </w:r>
          </w:p>
          <w:p w14:paraId="A5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34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line="264" w:lineRule="auto"/>
              <w:ind w:firstLine="0" w:left="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консул</w:t>
            </w:r>
            <w:r>
              <w:rPr>
                <w:rFonts w:ascii="XO Thames" w:hAnsi="XO Thames"/>
                <w:sz w:val="24"/>
              </w:rPr>
              <w:t>ь</w:t>
            </w:r>
            <w:r>
              <w:rPr>
                <w:rFonts w:ascii="XO Thames" w:hAnsi="XO Thames"/>
                <w:sz w:val="24"/>
              </w:rPr>
              <w:t>таций по реализации проектной деятельн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line="264" w:lineRule="auto"/>
              <w:ind w:firstLine="0" w:left="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line="264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line="264" w:lineRule="auto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Крапивинского муниципального округа (по экономике)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2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rPr>
                <w:rFonts w:ascii="XO Thames" w:hAnsi="XO Thames"/>
                <w:i w:val="0"/>
                <w:sz w:val="24"/>
              </w:rPr>
            </w:pPr>
            <w:r>
              <w:rPr>
                <w:rFonts w:ascii="XO Thames" w:hAnsi="XO Thames"/>
                <w:i w:val="0"/>
                <w:sz w:val="24"/>
              </w:rPr>
              <w:t>Организационные мероприятия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line="264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Мониторинг плана, подг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товка аналитической информации о ходе реализ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ции программы «Эффективный регион» в деятельности органов местного самоуправления и подведомственных им организациях на территории Крапивинского муниципального округа на</w:t>
            </w:r>
            <w:r>
              <w:rPr>
                <w:rFonts w:ascii="XO Thames" w:hAnsi="XO Thames"/>
                <w:sz w:val="24"/>
              </w:rPr>
              <w:t xml:space="preserve"> 2025–2027 годы, ежеква</w:t>
            </w:r>
            <w:r>
              <w:rPr>
                <w:rFonts w:ascii="XO Thames" w:hAnsi="XO Thames"/>
                <w:sz w:val="24"/>
              </w:rPr>
              <w:t>р</w:t>
            </w:r>
            <w:r>
              <w:rPr>
                <w:rFonts w:ascii="XO Thames" w:hAnsi="XO Thames"/>
                <w:sz w:val="24"/>
              </w:rPr>
              <w:t xml:space="preserve">тально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line="264" w:lineRule="auto"/>
              <w:ind w:right="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line="264" w:lineRule="auto"/>
              <w:ind w:right="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line="264" w:lineRule="auto"/>
              <w:ind w:right="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line="264" w:lineRule="auto"/>
              <w:ind w:right="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XO Thames" w:hAnsi="XO Thames"/>
                <w:i w:val="0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Крапивинского муниципального округа (по экономике)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line="264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Проведение </w:t>
            </w:r>
            <w:r>
              <w:rPr>
                <w:rFonts w:ascii="XO Thames" w:hAnsi="XO Thames"/>
                <w:sz w:val="24"/>
              </w:rPr>
              <w:t>муниципальн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го </w:t>
            </w:r>
            <w:r>
              <w:rPr>
                <w:rFonts w:ascii="XO Thames" w:hAnsi="XO Thames"/>
                <w:sz w:val="24"/>
              </w:rPr>
              <w:t>конкурса лучших практик примен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ния технологий бережливого произво</w:t>
            </w:r>
            <w:r>
              <w:rPr>
                <w:rFonts w:ascii="XO Thames" w:hAnsi="XO Thames"/>
                <w:sz w:val="24"/>
              </w:rPr>
              <w:t>д</w:t>
            </w:r>
            <w:r>
              <w:rPr>
                <w:rFonts w:ascii="XO Thames" w:hAnsi="XO Thames"/>
                <w:sz w:val="24"/>
              </w:rPr>
              <w:t>ства, еж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 xml:space="preserve">годно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line="264" w:lineRule="auto"/>
              <w:ind w:right="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 xml:space="preserve">ниц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line="264" w:lineRule="auto"/>
              <w:ind w:right="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line="264" w:lineRule="auto"/>
              <w:ind w:right="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line="264" w:lineRule="auto"/>
              <w:ind w:right="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XO Thames" w:hAnsi="XO Thames"/>
                <w:i w:val="0"/>
                <w:sz w:val="24"/>
              </w:rPr>
            </w:pPr>
            <w:r>
              <w:rPr>
                <w:rFonts w:ascii="XO Thames" w:hAnsi="XO Thames"/>
                <w:sz w:val="24"/>
              </w:rPr>
              <w:t>Администрация Крапивинского муниципального округа</w:t>
            </w:r>
          </w:p>
        </w:tc>
      </w:tr>
    </w:tbl>
    <w:p w14:paraId="BD000000">
      <w:pPr>
        <w:widowControl w:val="0"/>
        <w:ind/>
        <w:jc w:val="right"/>
        <w:rPr>
          <w:rFonts w:ascii="XO Thames" w:hAnsi="XO Thames"/>
          <w:sz w:val="28"/>
        </w:rPr>
      </w:pPr>
    </w:p>
    <w:p w14:paraId="BE000000">
      <w:pPr>
        <w:sectPr>
          <w:type w:val="nextPage"/>
          <w:pgSz w:h="11908" w:orient="landscape" w:w="16848"/>
          <w:pgMar w:bottom="567" w:footer="709" w:gutter="0" w:header="709" w:left="1984" w:right="1134" w:top="850"/>
        </w:sectPr>
      </w:pPr>
    </w:p>
    <w:p w14:paraId="BF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№ 3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постановлению</w:t>
      </w:r>
    </w:p>
    <w:p w14:paraId="C0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Крапивинского </w:t>
      </w:r>
    </w:p>
    <w:p w14:paraId="C1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муниципального округа</w:t>
      </w:r>
    </w:p>
    <w:p w14:paraId="C2000000">
      <w:pPr>
        <w:widowControl w:val="0"/>
        <w:ind w:hanging="3260" w:left="8364" w:right="140"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от 21.04.2025 № 481</w:t>
      </w:r>
    </w:p>
    <w:p w14:paraId="C3000000">
      <w:pPr>
        <w:widowControl w:val="0"/>
        <w:ind w:hanging="3260" w:left="8364" w:right="140"/>
        <w:jc w:val="center"/>
        <w:rPr>
          <w:rFonts w:ascii="XO Thames" w:hAnsi="XO Thames"/>
          <w:sz w:val="26"/>
        </w:rPr>
      </w:pPr>
    </w:p>
    <w:p w14:paraId="C4000000">
      <w:pPr>
        <w:widowControl w:val="0"/>
        <w:ind w:hanging="3402" w:left="8364" w:right="140"/>
        <w:jc w:val="center"/>
        <w:rPr>
          <w:rFonts w:ascii="XO Thames" w:hAnsi="XO Thames"/>
          <w:sz w:val="26"/>
        </w:rPr>
      </w:pPr>
    </w:p>
    <w:p w14:paraId="C5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Состав комиссии по реализации программы «Эффективный регион» </w:t>
      </w:r>
      <w:r>
        <w:rPr>
          <w:rFonts w:ascii="XO Thames" w:hAnsi="XO Thames"/>
          <w:b w:val="1"/>
          <w:sz w:val="28"/>
        </w:rPr>
        <w:t>в деятельности органов местного самоуправления и подведомственных им организациях на территории Крапивинского муниципального округа на 2025-2027 годы</w:t>
      </w:r>
    </w:p>
    <w:p w14:paraId="C6000000">
      <w:pPr>
        <w:widowControl w:val="0"/>
        <w:ind w:hanging="3402" w:left="8364" w:right="140"/>
        <w:jc w:val="center"/>
        <w:rPr>
          <w:rFonts w:ascii="XO Thames" w:hAnsi="XO Thames"/>
          <w:sz w:val="26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4395"/>
        <w:gridCol w:w="5103"/>
      </w:tblGrid>
      <w:tr>
        <w:trPr>
          <w:trHeight w:hRule="atLeast" w:val="932"/>
        </w:trPr>
        <w:tc>
          <w:tcPr>
            <w:tcW w:type="dxa" w:w="4395"/>
            <w:shd w:fill="auto" w:val="clear"/>
          </w:tcPr>
          <w:p w14:paraId="C7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C8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Бобровская Раиса Владимировна</w:t>
            </w:r>
          </w:p>
        </w:tc>
        <w:tc>
          <w:tcPr>
            <w:tcW w:type="dxa" w:w="5103"/>
            <w:shd w:fill="auto" w:val="clear"/>
          </w:tcPr>
          <w:p w14:paraId="C9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8"/>
              </w:rPr>
            </w:pPr>
          </w:p>
          <w:p w14:paraId="CA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главы Крапивинского муниципального округа (по экономике), руководитель </w:t>
            </w:r>
            <w:r>
              <w:rPr>
                <w:rFonts w:ascii="XO Thames" w:hAnsi="XO Thames"/>
                <w:sz w:val="28"/>
              </w:rPr>
              <w:t>комиссии</w:t>
            </w:r>
          </w:p>
        </w:tc>
      </w:tr>
      <w:tr>
        <w:trPr>
          <w:trHeight w:hRule="atLeast" w:val="1004"/>
        </w:trPr>
        <w:tc>
          <w:tcPr>
            <w:tcW w:type="dxa" w:w="4395"/>
            <w:shd w:fill="auto" w:val="clear"/>
          </w:tcPr>
          <w:p w14:paraId="CB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Ермакова Наталья Александровна</w:t>
            </w:r>
          </w:p>
          <w:p w14:paraId="C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C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CE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CF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D0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  <w:p w14:paraId="D1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103"/>
            <w:shd w:fill="auto" w:val="clear"/>
          </w:tcPr>
          <w:p w14:paraId="D2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>
              <w:rPr>
                <w:rFonts w:ascii="XO Thames" w:hAnsi="XO Thames"/>
                <w:sz w:val="28"/>
              </w:rPr>
              <w:t>секретарь комиссии</w:t>
            </w:r>
          </w:p>
        </w:tc>
      </w:tr>
      <w:tr>
        <w:trPr>
          <w:trHeight w:hRule="atLeast" w:val="1004"/>
        </w:trPr>
        <w:tc>
          <w:tcPr>
            <w:tcW w:type="dxa" w:w="4395"/>
            <w:shd w:fill="auto" w:val="clear"/>
          </w:tcPr>
          <w:p w14:paraId="D3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Арнольд Наталья Фридриховна</w:t>
            </w:r>
          </w:p>
        </w:tc>
        <w:tc>
          <w:tcPr>
            <w:tcW w:type="dxa" w:w="5103"/>
            <w:shd w:fill="auto" w:val="clear"/>
          </w:tcPr>
          <w:p w14:paraId="D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D5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Голошумова Екатерина Анатольевна</w:t>
            </w:r>
          </w:p>
        </w:tc>
        <w:tc>
          <w:tcPr>
            <w:tcW w:type="dxa" w:w="5103"/>
            <w:shd w:fill="auto" w:val="clear"/>
          </w:tcPr>
          <w:p w14:paraId="D6000000">
            <w:pPr>
              <w:widowControl w:val="0"/>
              <w:tabs>
                <w:tab w:leader="none" w:pos="175" w:val="left"/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D7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Слонов Евгений Александрович</w:t>
            </w:r>
          </w:p>
          <w:p w14:paraId="D8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D9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103"/>
            <w:shd w:fill="auto" w:val="clear"/>
          </w:tcPr>
          <w:p w14:paraId="DA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главы Крапивинского муниципального округа (по внутренней политике и безопасности) 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DB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Реванченко Андрей Александрович</w:t>
            </w:r>
          </w:p>
        </w:tc>
        <w:tc>
          <w:tcPr>
            <w:tcW w:type="dxa" w:w="5103"/>
            <w:shd w:fill="auto" w:val="clear"/>
          </w:tcPr>
          <w:p w14:paraId="D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D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Стоянова Ольга Васильевна</w:t>
            </w:r>
          </w:p>
        </w:tc>
        <w:tc>
          <w:tcPr>
            <w:tcW w:type="dxa" w:w="5103"/>
            <w:shd w:fill="auto" w:val="clear"/>
          </w:tcPr>
          <w:p w14:paraId="D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  <w:r>
              <w:rPr>
                <w:rFonts w:ascii="XO Thames" w:hAnsi="XO Thames"/>
                <w:sz w:val="28"/>
              </w:rPr>
              <w:t xml:space="preserve"> начальник финансового управления администрации Крапивинского муниципального округа</w:t>
            </w:r>
          </w:p>
        </w:tc>
      </w:tr>
    </w:tbl>
    <w:p w14:paraId="DF000000">
      <w:pPr>
        <w:widowControl w:val="0"/>
        <w:ind w:firstLine="708" w:left="0"/>
        <w:jc w:val="both"/>
        <w:rPr>
          <w:rFonts w:ascii="XO Thames" w:hAnsi="XO Thames"/>
          <w:sz w:val="28"/>
        </w:rPr>
      </w:pPr>
    </w:p>
    <w:p w14:paraId="E0000000">
      <w:pPr>
        <w:widowControl w:val="0"/>
        <w:ind/>
        <w:jc w:val="both"/>
        <w:rPr>
          <w:rFonts w:ascii="XO Thames" w:hAnsi="XO Thames"/>
          <w:sz w:val="28"/>
        </w:rPr>
      </w:pPr>
    </w:p>
    <w:p w14:paraId="E1000000">
      <w:pPr>
        <w:widowControl w:val="0"/>
        <w:ind/>
        <w:jc w:val="center"/>
        <w:rPr>
          <w:rFonts w:ascii="XO Thames" w:hAnsi="XO Thames"/>
          <w:sz w:val="28"/>
        </w:rPr>
      </w:pPr>
    </w:p>
    <w:p w14:paraId="E2000000">
      <w:pPr>
        <w:widowControl w:val="0"/>
        <w:ind/>
        <w:jc w:val="center"/>
        <w:rPr>
          <w:rFonts w:ascii="XO Thames" w:hAnsi="XO Thames"/>
          <w:sz w:val="28"/>
        </w:rPr>
      </w:pPr>
    </w:p>
    <w:p w14:paraId="E3000000">
      <w:pPr>
        <w:widowControl w:val="0"/>
        <w:ind/>
        <w:jc w:val="center"/>
        <w:rPr>
          <w:rFonts w:ascii="XO Thames" w:hAnsi="XO Thames"/>
          <w:sz w:val="28"/>
        </w:rPr>
      </w:pPr>
    </w:p>
    <w:sectPr>
      <w:type w:val="nextPage"/>
      <w:pgSz w:h="16848" w:orient="portrait" w:w="11908"/>
      <w:pgMar w:bottom="567" w:footer="709" w:gutter="0" w:header="709" w:left="198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tandardcxspmiddle"/>
    <w:basedOn w:val="Style_2"/>
    <w:link w:val="Style_5_ch"/>
    <w:pPr>
      <w:widowControl w:val="0"/>
      <w:spacing w:afterAutospacing="on" w:beforeAutospacing="on"/>
      <w:ind/>
    </w:pPr>
  </w:style>
  <w:style w:styleId="Style_5_ch" w:type="character">
    <w:name w:val="standardcxspmiddle"/>
    <w:basedOn w:val="Style_2_ch"/>
    <w:link w:val="Style_5"/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b w:val="1"/>
      <w:sz w:val="22"/>
    </w:rPr>
  </w:style>
  <w:style w:styleId="Style_7_ch" w:type="character">
    <w:name w:val="ConsPlusTitle"/>
    <w:link w:val="Style_7"/>
    <w:rPr>
      <w:b w:val="1"/>
      <w:sz w:val="22"/>
    </w:rPr>
  </w:style>
  <w:style w:styleId="Style_8" w:type="paragraph">
    <w:name w:val="toc 7"/>
    <w:next w:val="Style_2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Theme="minorAscii" w:hAnsiTheme="minorHAnsi"/>
      <w:sz w:val="22"/>
    </w:rPr>
  </w:style>
  <w:style w:styleId="Style_9_ch" w:type="character">
    <w:name w:val="No Spacing"/>
    <w:link w:val="Style_9"/>
    <w:rPr>
      <w:rFonts w:asciiTheme="minorAscii" w:hAnsiTheme="minorHAnsi"/>
      <w:sz w:val="22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layout"/>
    <w:basedOn w:val="Style_14"/>
    <w:link w:val="Style_13_ch"/>
  </w:style>
  <w:style w:styleId="Style_13_ch" w:type="character">
    <w:name w:val="layout"/>
    <w:basedOn w:val="Style_14_ch"/>
    <w:link w:val="Style_13"/>
  </w:style>
  <w:style w:styleId="Style_15" w:type="paragraph">
    <w:name w:val="header"/>
    <w:basedOn w:val="Style_2"/>
    <w:link w:val="Style_15_ch"/>
    <w:pPr>
      <w:widowControl w:val="0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"/>
    <w:basedOn w:val="Style_2"/>
    <w:link w:val="Style_17_ch"/>
    <w:pPr>
      <w:widowControl w:val="0"/>
      <w:ind/>
      <w:jc w:val="both"/>
    </w:pPr>
  </w:style>
  <w:style w:styleId="Style_17_ch" w:type="character">
    <w:name w:val="Body Text"/>
    <w:basedOn w:val="Style_2_ch"/>
    <w:link w:val="Style_17"/>
  </w:style>
  <w:style w:styleId="Style_18" w:type="paragraph">
    <w:name w:val="heading 5"/>
    <w:next w:val="Style_2"/>
    <w:link w:val="Style_18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keepLines w:val="1"/>
      <w:widowControl w:val="0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9_ch" w:type="character">
    <w:name w:val="heading 1"/>
    <w:basedOn w:val="Style_2_ch"/>
    <w:link w:val="Style_19"/>
    <w:rPr>
      <w:rFonts w:ascii="Cambria" w:hAnsi="Cambria"/>
      <w:b w:val="1"/>
      <w:color w:val="365F9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2"/>
    <w:link w:val="Style_21_ch"/>
    <w:rPr>
      <w:rFonts w:ascii="Calibri" w:hAnsi="Calibri"/>
      <w:sz w:val="20"/>
    </w:rPr>
  </w:style>
  <w:style w:styleId="Style_21_ch" w:type="character">
    <w:name w:val="Footnote"/>
    <w:basedOn w:val="Style_2_ch"/>
    <w:link w:val="Style_21"/>
    <w:rPr>
      <w:rFonts w:ascii="Calibri" w:hAnsi="Calibri"/>
      <w:sz w:val="20"/>
    </w:rPr>
  </w:style>
  <w:style w:styleId="Style_22" w:type="paragraph">
    <w:name w:val="toc 1"/>
    <w:next w:val="Style_2"/>
    <w:link w:val="Style_22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widowControl w:val="0"/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Абзац списка1"/>
    <w:basedOn w:val="Style_2"/>
    <w:link w:val="Style_25_ch"/>
    <w:pPr>
      <w:widowControl w:val="0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5_ch" w:type="character">
    <w:name w:val="Абзац списка1"/>
    <w:basedOn w:val="Style_2_ch"/>
    <w:link w:val="Style_25"/>
    <w:rPr>
      <w:rFonts w:ascii="Calibri" w:hAnsi="Calibri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List Paragraph"/>
    <w:basedOn w:val="Style_2"/>
    <w:link w:val="Style_26_ch"/>
    <w:pPr>
      <w:widowControl w:val="0"/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toc 9"/>
    <w:next w:val="Style_2"/>
    <w:link w:val="Style_2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Normal (Web)"/>
    <w:basedOn w:val="Style_2"/>
    <w:link w:val="Style_28_ch"/>
    <w:pPr>
      <w:widowControl w:val="0"/>
      <w:spacing w:afterAutospacing="on" w:beforeAutospacing="on"/>
      <w:ind/>
    </w:pPr>
  </w:style>
  <w:style w:styleId="Style_28_ch" w:type="character">
    <w:name w:val="Normal (Web)"/>
    <w:basedOn w:val="Style_2_ch"/>
    <w:link w:val="Style_28"/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toc 8"/>
    <w:next w:val="Style_2"/>
    <w:link w:val="Style_30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ext"/>
    <w:basedOn w:val="Style_2"/>
    <w:link w:val="Style_31_ch"/>
    <w:pPr>
      <w:widowControl w:val="0"/>
      <w:spacing w:afterAutospacing="on" w:beforeAutospacing="on"/>
      <w:ind/>
    </w:pPr>
  </w:style>
  <w:style w:styleId="Style_31_ch" w:type="character">
    <w:name w:val="text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Normal"/>
    <w:link w:val="Style_33_ch"/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35" w:type="paragraph">
    <w:name w:val="Subtitle"/>
    <w:next w:val="Style_2"/>
    <w:link w:val="Style_3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2"/>
    <w:link w:val="Style_3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2"/>
    <w:link w:val="Style_38_ch"/>
    <w:uiPriority w:val="9"/>
    <w:qFormat/>
    <w:pPr>
      <w:widowControl w:val="0"/>
      <w:spacing w:afterAutospacing="on" w:beforeAutospacing="on"/>
      <w:ind/>
      <w:outlineLvl w:val="1"/>
    </w:pPr>
    <w:rPr>
      <w:b w:val="1"/>
      <w:sz w:val="36"/>
    </w:rPr>
  </w:style>
  <w:style w:styleId="Style_38_ch" w:type="character">
    <w:name w:val="heading 2"/>
    <w:basedOn w:val="Style_2_ch"/>
    <w:link w:val="Style_38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2025-04-22T02:07:52Z</dcterms:created>
  <dcterms:modified xsi:type="dcterms:W3CDTF">2025-04-22T02:47:42Z</dcterms:modified>
</cp:coreProperties>
</file>