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Приложение</w:t>
      </w:r>
      <w:r>
        <w:rPr>
          <w:rFonts w:ascii="Times New Roman" w:hAnsi="Times New Roman"/>
          <w:color w:val="000000"/>
          <w:sz w:val="24"/>
        </w:rPr>
        <w:t xml:space="preserve"> 1</w:t>
      </w:r>
    </w:p>
    <w:p w14:paraId="02000000">
      <w:pPr>
        <w:widowControl w:val="1"/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к постановлению АКМО от</w:t>
      </w:r>
      <w:r>
        <w:rPr>
          <w:rFonts w:ascii="Times New Roman" w:hAnsi="Times New Roman"/>
          <w:color w:val="000000"/>
          <w:sz w:val="24"/>
        </w:rPr>
        <w:t xml:space="preserve"> 24.08.2026</w:t>
      </w:r>
      <w:r>
        <w:rPr>
          <w:rFonts w:ascii="Times New Roman" w:hAnsi="Times New Roman"/>
          <w:color w:val="000000"/>
          <w:sz w:val="24"/>
        </w:rPr>
        <w:t>№</w:t>
      </w:r>
      <w:r>
        <w:rPr>
          <w:rFonts w:ascii="Times New Roman" w:hAnsi="Times New Roman"/>
          <w:color w:val="000000"/>
          <w:sz w:val="24"/>
        </w:rPr>
        <w:t xml:space="preserve"> 854</w:t>
      </w:r>
    </w:p>
    <w:p w14:paraId="03000000">
      <w:pPr>
        <w:widowControl w:val="1"/>
        <w:spacing w:after="0" w:line="240" w:lineRule="auto"/>
        <w:ind/>
        <w:jc w:val="right"/>
        <w:rPr>
          <w:rFonts w:ascii="Times New Roman" w:hAnsi="Times New Roman"/>
          <w:b w:val="1"/>
          <w:sz w:val="28"/>
        </w:rPr>
      </w:pPr>
    </w:p>
    <w:p w14:paraId="04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Достигнутые результаты Стратегии и выполненные целевые индикаторы</w:t>
      </w:r>
    </w:p>
    <w:p w14:paraId="05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tbl>
      <w:tblPr>
        <w:tblStyle w:val="Style_1"/>
        <w:tblW w:type="auto" w:w="0"/>
        <w:tblInd w:type="dxa" w:w="-5"/>
        <w:tblLayout w:type="fixed"/>
      </w:tblPr>
      <w:tblGrid>
        <w:gridCol w:w="2381"/>
        <w:gridCol w:w="2552"/>
        <w:gridCol w:w="709"/>
        <w:gridCol w:w="708"/>
        <w:gridCol w:w="709"/>
        <w:gridCol w:w="709"/>
        <w:gridCol w:w="850"/>
        <w:gridCol w:w="1014"/>
      </w:tblGrid>
      <w:tr>
        <w:trPr>
          <w:trHeight w:hRule="atLeast" w:val="1134"/>
        </w:trPr>
        <w:tc>
          <w:tcPr>
            <w:tcW w:type="dxa" w:w="23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00000">
            <w:pPr>
              <w:widowControl w:val="1"/>
              <w:ind w:right="-2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Цель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00000">
            <w:pPr>
              <w:widowControl w:val="1"/>
              <w:ind w:right="-2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Показатель, </w:t>
            </w:r>
          </w:p>
          <w:p w14:paraId="08000000">
            <w:pPr>
              <w:widowControl w:val="1"/>
              <w:ind w:right="-2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ед. измерения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00000">
            <w:pPr>
              <w:widowControl w:val="1"/>
              <w:ind w:right="-2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2017</w:t>
            </w:r>
          </w:p>
          <w:p w14:paraId="0A000000">
            <w:pPr>
              <w:widowControl w:val="1"/>
              <w:ind w:right="-2"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(факт)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0B000000">
            <w:pPr>
              <w:widowControl w:val="1"/>
              <w:ind w:left="113" w:right="-2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Консервативный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0C000000">
            <w:pPr>
              <w:widowControl w:val="1"/>
              <w:ind w:left="113" w:right="-2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Целевой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0D000000">
            <w:pPr>
              <w:widowControl w:val="1"/>
              <w:ind w:left="113" w:right="-2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Оптимистический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00000">
            <w:pPr>
              <w:widowControl w:val="1"/>
              <w:ind w:right="-2"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2024 </w:t>
            </w:r>
            <w:r>
              <w:rPr>
                <w:rFonts w:ascii="Times New Roman" w:hAnsi="Times New Roman"/>
                <w:b w:val="1"/>
                <w:sz w:val="18"/>
              </w:rPr>
              <w:t>(факт)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00000">
            <w:pPr>
              <w:widowControl w:val="1"/>
              <w:ind w:right="-2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Зона</w:t>
            </w:r>
          </w:p>
        </w:tc>
      </w:tr>
      <w:tr>
        <w:tc>
          <w:tcPr>
            <w:tcW w:type="dxa" w:w="9632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00000">
            <w:pPr>
              <w:widowControl w:val="1"/>
              <w:ind w:right="-2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Рост экономического потенциала</w:t>
            </w:r>
          </w:p>
        </w:tc>
      </w:tr>
      <w:tr>
        <w:trPr>
          <w:trHeight w:hRule="atLeast" w:val="1007"/>
        </w:trPr>
        <w:tc>
          <w:tcPr>
            <w:tcW w:type="dxa" w:w="23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00000">
            <w:pPr>
              <w:widowControl w:val="1"/>
              <w:ind w:right="-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Дальнейшее развитие отраслей промышленности на основе использования ресурсного потенциала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00000">
            <w:pPr>
              <w:widowControl w:val="1"/>
              <w:ind w:right="-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 промышленного производства, % к прошлому году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103,5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right w:color="000000" w:sz="4" w:val="single"/>
            </w:tcBorders>
            <w:vAlign w:val="center"/>
          </w:tcPr>
          <w:p w14:paraId="14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102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right w:color="000000" w:sz="4" w:val="single"/>
            </w:tcBorders>
            <w:vAlign w:val="center"/>
          </w:tcPr>
          <w:p w14:paraId="15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102,3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right w:color="000000" w:sz="4" w:val="single"/>
            </w:tcBorders>
            <w:vAlign w:val="center"/>
          </w:tcPr>
          <w:p w14:paraId="16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103,1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20"/>
              </w:rPr>
              <w:t>103,5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green"/>
              </w:rPr>
              <w:t>зеленая</w:t>
            </w:r>
          </w:p>
        </w:tc>
      </w:tr>
      <w:tr>
        <w:trPr>
          <w:trHeight w:hRule="atLeast" w:val="837"/>
        </w:trPr>
        <w:tc>
          <w:tcPr>
            <w:tcW w:type="dxa" w:w="23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00000">
            <w:pPr>
              <w:widowControl w:val="1"/>
              <w:ind w:right="-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Повышение эффективности и устойчивое развитие производства, переработки и реализации сельскохозяйственной продукции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00000">
            <w:pPr>
              <w:widowControl w:val="1"/>
              <w:ind w:right="-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 производства продукции сельского хозяйства, % к прошлому году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102,7</w:t>
            </w:r>
          </w:p>
        </w:tc>
        <w:tc>
          <w:tcPr>
            <w:tcW w:type="dxa" w:w="708"/>
            <w:tcBorders>
              <w:left w:color="000000" w:sz="4" w:val="single"/>
              <w:right w:color="000000" w:sz="4" w:val="single"/>
            </w:tcBorders>
            <w:vAlign w:val="center"/>
          </w:tcPr>
          <w:p w14:paraId="1C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101</w:t>
            </w:r>
          </w:p>
        </w:tc>
        <w:tc>
          <w:tcPr>
            <w:tcW w:type="dxa" w:w="709"/>
            <w:tcBorders>
              <w:left w:color="000000" w:sz="4" w:val="single"/>
              <w:right w:color="000000" w:sz="4" w:val="single"/>
            </w:tcBorders>
            <w:vAlign w:val="center"/>
          </w:tcPr>
          <w:p w14:paraId="1D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101,3</w:t>
            </w:r>
          </w:p>
        </w:tc>
        <w:tc>
          <w:tcPr>
            <w:tcW w:type="dxa" w:w="709"/>
            <w:tcBorders>
              <w:left w:color="000000" w:sz="4" w:val="single"/>
              <w:right w:color="000000" w:sz="4" w:val="single"/>
            </w:tcBorders>
            <w:vAlign w:val="center"/>
          </w:tcPr>
          <w:p w14:paraId="1E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101,8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20"/>
              </w:rPr>
              <w:t>101,1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желтая</w:t>
            </w:r>
          </w:p>
        </w:tc>
      </w:tr>
      <w:tr>
        <w:trPr>
          <w:trHeight w:hRule="atLeast" w:val="729"/>
        </w:trPr>
        <w:tc>
          <w:tcPr>
            <w:tcW w:type="dxa" w:w="23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00000">
            <w:pPr>
              <w:widowControl w:val="0"/>
              <w:ind w:right="-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Обеспечение устойчивого развития малого и среднего предпринимательства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00000">
            <w:pPr>
              <w:widowControl w:val="1"/>
              <w:ind w:right="-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Количество субъектов малого и среднего предпринимательства, ед. на 10 тыс. человек населения (самозанятые)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229,1</w:t>
            </w:r>
          </w:p>
        </w:tc>
        <w:tc>
          <w:tcPr>
            <w:tcW w:type="dxa" w:w="708"/>
            <w:tcBorders>
              <w:left w:color="000000" w:sz="4" w:val="single"/>
              <w:right w:color="000000" w:sz="4" w:val="single"/>
            </w:tcBorders>
            <w:vAlign w:val="center"/>
          </w:tcPr>
          <w:p w14:paraId="24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244</w:t>
            </w:r>
          </w:p>
        </w:tc>
        <w:tc>
          <w:tcPr>
            <w:tcW w:type="dxa" w:w="709"/>
            <w:tcBorders>
              <w:left w:color="000000" w:sz="4" w:val="single"/>
              <w:right w:color="000000" w:sz="4" w:val="single"/>
            </w:tcBorders>
            <w:vAlign w:val="center"/>
          </w:tcPr>
          <w:p w14:paraId="25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247</w:t>
            </w:r>
          </w:p>
        </w:tc>
        <w:tc>
          <w:tcPr>
            <w:tcW w:type="dxa" w:w="709"/>
            <w:tcBorders>
              <w:left w:color="000000" w:sz="4" w:val="single"/>
              <w:right w:color="000000" w:sz="4" w:val="single"/>
            </w:tcBorders>
            <w:vAlign w:val="center"/>
          </w:tcPr>
          <w:p w14:paraId="26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250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779,5 </w:t>
            </w:r>
          </w:p>
          <w:p w14:paraId="28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6"/>
              </w:rPr>
              <w:t>(в т.ч. 1301 - самозанятые)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green"/>
              </w:rPr>
              <w:t>зеленая</w:t>
            </w:r>
          </w:p>
        </w:tc>
      </w:tr>
      <w:tr>
        <w:trPr>
          <w:trHeight w:hRule="atLeast" w:val="555"/>
        </w:trPr>
        <w:tc>
          <w:tcPr>
            <w:tcW w:type="dxa" w:w="23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00000">
            <w:pPr>
              <w:widowControl w:val="1"/>
              <w:ind w:right="-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Численность занятых в сфере малого и среднего предпринимательства, % к численности населения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8,1</w:t>
            </w:r>
          </w:p>
        </w:tc>
        <w:tc>
          <w:tcPr>
            <w:tcW w:type="dxa" w:w="708"/>
            <w:tcBorders>
              <w:left w:color="000000" w:sz="4" w:val="single"/>
              <w:right w:color="000000" w:sz="4" w:val="single"/>
            </w:tcBorders>
            <w:vAlign w:val="center"/>
          </w:tcPr>
          <w:p w14:paraId="2C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13,2</w:t>
            </w:r>
          </w:p>
        </w:tc>
        <w:tc>
          <w:tcPr>
            <w:tcW w:type="dxa" w:w="709"/>
            <w:tcBorders>
              <w:left w:color="000000" w:sz="4" w:val="single"/>
              <w:right w:color="000000" w:sz="4" w:val="single"/>
            </w:tcBorders>
            <w:vAlign w:val="center"/>
          </w:tcPr>
          <w:p w14:paraId="2D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type="dxa" w:w="709"/>
            <w:tcBorders>
              <w:left w:color="000000" w:sz="4" w:val="single"/>
              <w:right w:color="000000" w:sz="4" w:val="single"/>
            </w:tcBorders>
            <w:vAlign w:val="center"/>
          </w:tcPr>
          <w:p w14:paraId="2E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14,6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green"/>
              </w:rPr>
              <w:t>зеленая</w:t>
            </w:r>
          </w:p>
        </w:tc>
      </w:tr>
      <w:tr>
        <w:tc>
          <w:tcPr>
            <w:tcW w:type="dxa" w:w="23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00000">
            <w:pPr>
              <w:widowControl w:val="1"/>
              <w:ind w:right="-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Содействие инвестиционной деятельности и повышение инвестиционной привлекательности района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00000">
            <w:pPr>
              <w:widowControl w:val="1"/>
              <w:ind w:right="-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Объем инвестиций (в основной капитал) за счет всех источников финансирования, % к прошлому году 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104,1</w:t>
            </w:r>
          </w:p>
        </w:tc>
        <w:tc>
          <w:tcPr>
            <w:tcW w:type="dxa" w:w="708"/>
            <w:tcBorders>
              <w:left w:color="000000" w:sz="4" w:val="single"/>
              <w:right w:color="000000" w:sz="4" w:val="single"/>
            </w:tcBorders>
            <w:vAlign w:val="center"/>
          </w:tcPr>
          <w:p w14:paraId="34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109,5</w:t>
            </w:r>
          </w:p>
        </w:tc>
        <w:tc>
          <w:tcPr>
            <w:tcW w:type="dxa" w:w="709"/>
            <w:tcBorders>
              <w:left w:color="000000" w:sz="4" w:val="single"/>
              <w:right w:color="000000" w:sz="4" w:val="single"/>
            </w:tcBorders>
            <w:vAlign w:val="center"/>
          </w:tcPr>
          <w:p w14:paraId="35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109,8</w:t>
            </w:r>
          </w:p>
        </w:tc>
        <w:tc>
          <w:tcPr>
            <w:tcW w:type="dxa" w:w="709"/>
            <w:tcBorders>
              <w:left w:color="000000" w:sz="4" w:val="single"/>
              <w:right w:color="000000" w:sz="4" w:val="single"/>
            </w:tcBorders>
            <w:vAlign w:val="center"/>
          </w:tcPr>
          <w:p w14:paraId="36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110,0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20"/>
              </w:rPr>
              <w:t>105,1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red"/>
              </w:rPr>
              <w:t>красная</w:t>
            </w:r>
          </w:p>
        </w:tc>
      </w:tr>
      <w:tr>
        <w:tc>
          <w:tcPr>
            <w:tcW w:type="dxa" w:w="23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00000">
            <w:pPr>
              <w:widowControl w:val="1"/>
              <w:ind w:right="-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инвестиций в основной капитал на душу населения, тыс. руб. на человека в год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12,6</w:t>
            </w:r>
          </w:p>
        </w:tc>
        <w:tc>
          <w:tcPr>
            <w:tcW w:type="dxa" w:w="708"/>
            <w:tcBorders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36,9</w:t>
            </w:r>
          </w:p>
        </w:tc>
        <w:tc>
          <w:tcPr>
            <w:tcW w:type="dxa" w:w="709"/>
            <w:tcBorders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37,3</w:t>
            </w:r>
          </w:p>
        </w:tc>
        <w:tc>
          <w:tcPr>
            <w:tcW w:type="dxa" w:w="709"/>
            <w:tcBorders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38,4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20"/>
              </w:rPr>
              <w:t>37,22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желтая</w:t>
            </w:r>
          </w:p>
        </w:tc>
      </w:tr>
      <w:tr>
        <w:tc>
          <w:tcPr>
            <w:tcW w:type="dxa" w:w="9632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widowControl w:val="1"/>
              <w:ind w:right="-2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Формирование благоприятного социального климата</w:t>
            </w:r>
          </w:p>
        </w:tc>
      </w:tr>
      <w:tr>
        <w:tc>
          <w:tcPr>
            <w:tcW w:type="dxa" w:w="23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00000">
            <w:pPr>
              <w:widowControl w:val="1"/>
              <w:ind w:right="-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Обеспечение населения доступной и качественной медицинской помощью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00000">
            <w:pPr>
              <w:widowControl w:val="1"/>
              <w:ind w:right="-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Численность населения,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тыс. человек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23,35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right w:color="000000" w:sz="4" w:val="single"/>
            </w:tcBorders>
            <w:vAlign w:val="center"/>
          </w:tcPr>
          <w:p w14:paraId="44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23,34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right w:color="000000" w:sz="4" w:val="single"/>
            </w:tcBorders>
            <w:vAlign w:val="center"/>
          </w:tcPr>
          <w:p w14:paraId="45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23,5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right w:color="000000" w:sz="4" w:val="single"/>
            </w:tcBorders>
            <w:vAlign w:val="center"/>
          </w:tcPr>
          <w:p w14:paraId="46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25,1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21,5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  <w:highlight w:val="red"/>
              </w:rPr>
            </w:pPr>
            <w:r>
              <w:rPr>
                <w:rFonts w:ascii="Times New Roman" w:hAnsi="Times New Roman"/>
                <w:sz w:val="20"/>
                <w:highlight w:val="red"/>
              </w:rPr>
              <w:t>красная</w:t>
            </w:r>
          </w:p>
        </w:tc>
      </w:tr>
      <w:tr>
        <w:tc>
          <w:tcPr>
            <w:tcW w:type="dxa" w:w="23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00000">
            <w:pPr>
              <w:widowControl w:val="1"/>
              <w:ind w:right="-2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Общий коэффициент рождаемости,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число родившихся на 1000 человек населения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10,8</w:t>
            </w:r>
          </w:p>
        </w:tc>
        <w:tc>
          <w:tcPr>
            <w:tcW w:type="dxa" w:w="708"/>
            <w:tcBorders>
              <w:left w:color="000000" w:sz="4" w:val="single"/>
              <w:right w:color="000000" w:sz="4" w:val="single"/>
            </w:tcBorders>
            <w:vAlign w:val="center"/>
          </w:tcPr>
          <w:p w14:paraId="4B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12,4</w:t>
            </w:r>
          </w:p>
        </w:tc>
        <w:tc>
          <w:tcPr>
            <w:tcW w:type="dxa" w:w="709"/>
            <w:tcBorders>
              <w:left w:color="000000" w:sz="4" w:val="single"/>
              <w:right w:color="000000" w:sz="4" w:val="single"/>
            </w:tcBorders>
            <w:vAlign w:val="center"/>
          </w:tcPr>
          <w:p w14:paraId="4C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12,6</w:t>
            </w:r>
          </w:p>
        </w:tc>
        <w:tc>
          <w:tcPr>
            <w:tcW w:type="dxa" w:w="709"/>
            <w:tcBorders>
              <w:left w:color="000000" w:sz="4" w:val="single"/>
              <w:right w:color="000000" w:sz="4" w:val="single"/>
            </w:tcBorders>
            <w:vAlign w:val="center"/>
          </w:tcPr>
          <w:p w14:paraId="4D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13,4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7,1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  <w:highlight w:val="red"/>
              </w:rPr>
            </w:pPr>
            <w:r>
              <w:rPr>
                <w:rFonts w:ascii="Times New Roman" w:hAnsi="Times New Roman"/>
                <w:sz w:val="20"/>
                <w:highlight w:val="red"/>
              </w:rPr>
              <w:t>красная</w:t>
            </w:r>
          </w:p>
        </w:tc>
      </w:tr>
      <w:tr>
        <w:trPr>
          <w:trHeight w:hRule="atLeast" w:val="581"/>
        </w:trPr>
        <w:tc>
          <w:tcPr>
            <w:tcW w:type="dxa" w:w="23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00000">
            <w:pPr>
              <w:widowControl w:val="1"/>
              <w:ind w:right="-2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Общий коэффициент смертности</w:t>
            </w:r>
            <w:r>
              <w:rPr>
                <w:rFonts w:ascii="Times New Roman" w:hAnsi="Times New Roman"/>
                <w:color w:val="000000"/>
                <w:sz w:val="20"/>
              </w:rPr>
              <w:t>, число умерших на 1000 человек населения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14,8</w:t>
            </w:r>
          </w:p>
        </w:tc>
        <w:tc>
          <w:tcPr>
            <w:tcW w:type="dxa" w:w="708"/>
            <w:tcBorders>
              <w:left w:color="000000" w:sz="4" w:val="single"/>
              <w:right w:color="000000" w:sz="4" w:val="single"/>
            </w:tcBorders>
            <w:vAlign w:val="center"/>
          </w:tcPr>
          <w:p w14:paraId="52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14,3</w:t>
            </w:r>
          </w:p>
        </w:tc>
        <w:tc>
          <w:tcPr>
            <w:tcW w:type="dxa" w:w="709"/>
            <w:tcBorders>
              <w:left w:color="000000" w:sz="4" w:val="single"/>
              <w:right w:color="000000" w:sz="4" w:val="single"/>
            </w:tcBorders>
            <w:vAlign w:val="center"/>
          </w:tcPr>
          <w:p w14:paraId="53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10,6</w:t>
            </w:r>
          </w:p>
        </w:tc>
        <w:tc>
          <w:tcPr>
            <w:tcW w:type="dxa" w:w="709"/>
            <w:tcBorders>
              <w:left w:color="000000" w:sz="4" w:val="single"/>
              <w:right w:color="000000" w:sz="4" w:val="single"/>
            </w:tcBorders>
            <w:vAlign w:val="center"/>
          </w:tcPr>
          <w:p w14:paraId="54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8,7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16,4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  <w:highlight w:val="red"/>
              </w:rPr>
            </w:pPr>
            <w:r>
              <w:rPr>
                <w:rFonts w:ascii="Times New Roman" w:hAnsi="Times New Roman"/>
                <w:sz w:val="20"/>
                <w:highlight w:val="red"/>
              </w:rPr>
              <w:t>красная</w:t>
            </w:r>
          </w:p>
        </w:tc>
      </w:tr>
      <w:tr>
        <w:tc>
          <w:tcPr>
            <w:tcW w:type="dxa" w:w="23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00000">
            <w:pPr>
              <w:widowControl w:val="1"/>
              <w:ind w:right="-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Обеспечение трудовой занятости населения и роста доходов трудоспособного населения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00000">
            <w:pPr>
              <w:widowControl w:val="1"/>
              <w:ind w:right="-2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Численность занятых в экономике (среднегодовая) (в т.ч. самозанятые), тыс. человек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6,93</w:t>
            </w:r>
          </w:p>
        </w:tc>
        <w:tc>
          <w:tcPr>
            <w:tcW w:type="dxa" w:w="708"/>
            <w:tcBorders>
              <w:left w:color="000000" w:sz="4" w:val="single"/>
              <w:right w:color="000000" w:sz="4" w:val="single"/>
            </w:tcBorders>
            <w:vAlign w:val="center"/>
          </w:tcPr>
          <w:p w14:paraId="5A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6,9</w:t>
            </w:r>
          </w:p>
        </w:tc>
        <w:tc>
          <w:tcPr>
            <w:tcW w:type="dxa" w:w="709"/>
            <w:tcBorders>
              <w:left w:color="000000" w:sz="4" w:val="single"/>
              <w:right w:color="000000" w:sz="4" w:val="single"/>
            </w:tcBorders>
            <w:vAlign w:val="center"/>
          </w:tcPr>
          <w:p w14:paraId="5B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6,92</w:t>
            </w:r>
          </w:p>
        </w:tc>
        <w:tc>
          <w:tcPr>
            <w:tcW w:type="dxa" w:w="709"/>
            <w:tcBorders>
              <w:left w:color="000000" w:sz="4" w:val="single"/>
              <w:right w:color="000000" w:sz="4" w:val="single"/>
            </w:tcBorders>
            <w:vAlign w:val="center"/>
          </w:tcPr>
          <w:p w14:paraId="5C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7,0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7,2 (1,3)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  <w:highlight w:val="green"/>
              </w:rPr>
            </w:pPr>
            <w:r>
              <w:rPr>
                <w:rFonts w:ascii="Times New Roman" w:hAnsi="Times New Roman"/>
                <w:sz w:val="20"/>
                <w:highlight w:val="green"/>
              </w:rPr>
              <w:t>зеленая</w:t>
            </w:r>
          </w:p>
        </w:tc>
      </w:tr>
      <w:tr>
        <w:tc>
          <w:tcPr>
            <w:tcW w:type="dxa" w:w="23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00000">
            <w:pPr>
              <w:widowControl w:val="1"/>
              <w:ind w:right="-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Уровень зарегистрированной безработицы, % к </w:t>
            </w:r>
            <w:r>
              <w:rPr>
                <w:rFonts w:ascii="Times New Roman" w:hAnsi="Times New Roman"/>
                <w:sz w:val="20"/>
              </w:rPr>
              <w:t>трудоспособному населению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708"/>
            <w:tcBorders>
              <w:left w:color="000000" w:sz="4" w:val="single"/>
              <w:right w:color="000000" w:sz="4" w:val="single"/>
            </w:tcBorders>
            <w:vAlign w:val="center"/>
          </w:tcPr>
          <w:p w14:paraId="61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4,3</w:t>
            </w:r>
          </w:p>
        </w:tc>
        <w:tc>
          <w:tcPr>
            <w:tcW w:type="dxa" w:w="709"/>
            <w:tcBorders>
              <w:left w:color="000000" w:sz="4" w:val="single"/>
              <w:right w:color="000000" w:sz="4" w:val="single"/>
            </w:tcBorders>
            <w:vAlign w:val="center"/>
          </w:tcPr>
          <w:p w14:paraId="62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4,2</w:t>
            </w:r>
          </w:p>
        </w:tc>
        <w:tc>
          <w:tcPr>
            <w:tcW w:type="dxa" w:w="709"/>
            <w:tcBorders>
              <w:left w:color="000000" w:sz="4" w:val="single"/>
              <w:right w:color="000000" w:sz="4" w:val="single"/>
            </w:tcBorders>
            <w:vAlign w:val="center"/>
          </w:tcPr>
          <w:p w14:paraId="63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3,5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1,6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  <w:highlight w:val="green"/>
              </w:rPr>
            </w:pPr>
            <w:r>
              <w:rPr>
                <w:rFonts w:ascii="Times New Roman" w:hAnsi="Times New Roman"/>
                <w:sz w:val="20"/>
                <w:highlight w:val="green"/>
              </w:rPr>
              <w:t>зеленая</w:t>
            </w:r>
          </w:p>
        </w:tc>
      </w:tr>
      <w:tr>
        <w:tc>
          <w:tcPr>
            <w:tcW w:type="dxa" w:w="23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00000">
            <w:pPr>
              <w:widowControl w:val="1"/>
              <w:ind w:right="-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Среднемесячная начисленная заработная плата одного работающего, рублей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20993</w:t>
            </w:r>
          </w:p>
        </w:tc>
        <w:tc>
          <w:tcPr>
            <w:tcW w:type="dxa" w:w="708"/>
            <w:tcBorders>
              <w:left w:color="000000" w:sz="4" w:val="single"/>
              <w:right w:color="000000" w:sz="4" w:val="single"/>
            </w:tcBorders>
            <w:vAlign w:val="center"/>
          </w:tcPr>
          <w:p w14:paraId="68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40786</w:t>
            </w:r>
          </w:p>
        </w:tc>
        <w:tc>
          <w:tcPr>
            <w:tcW w:type="dxa" w:w="709"/>
            <w:tcBorders>
              <w:left w:color="000000" w:sz="4" w:val="single"/>
              <w:right w:color="000000" w:sz="4" w:val="single"/>
            </w:tcBorders>
            <w:vAlign w:val="center"/>
          </w:tcPr>
          <w:p w14:paraId="69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43855</w:t>
            </w:r>
          </w:p>
        </w:tc>
        <w:tc>
          <w:tcPr>
            <w:tcW w:type="dxa" w:w="709"/>
            <w:tcBorders>
              <w:left w:color="000000" w:sz="4" w:val="single"/>
              <w:right w:color="000000" w:sz="4" w:val="single"/>
            </w:tcBorders>
            <w:vAlign w:val="center"/>
          </w:tcPr>
          <w:p w14:paraId="6A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48641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51532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  <w:highlight w:val="green"/>
              </w:rPr>
            </w:pPr>
            <w:r>
              <w:rPr>
                <w:rFonts w:ascii="Times New Roman" w:hAnsi="Times New Roman"/>
                <w:sz w:val="20"/>
                <w:highlight w:val="green"/>
              </w:rPr>
              <w:t>зеленая</w:t>
            </w:r>
          </w:p>
        </w:tc>
      </w:tr>
      <w:tr>
        <w:tc>
          <w:tcPr>
            <w:tcW w:type="dxa" w:w="23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00000">
            <w:pPr>
              <w:widowControl w:val="1"/>
              <w:ind w:right="-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Развитие сферы образования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00000">
            <w:pPr>
              <w:widowControl w:val="1"/>
              <w:ind w:right="-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Доступность дошкольного образования для детей в возрасте до 3 лет, %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</w:t>
            </w:r>
          </w:p>
        </w:tc>
        <w:tc>
          <w:tcPr>
            <w:tcW w:type="dxa" w:w="708"/>
            <w:tcBorders>
              <w:left w:color="000000" w:sz="4" w:val="single"/>
              <w:right w:color="000000" w:sz="4" w:val="single"/>
            </w:tcBorders>
            <w:vAlign w:val="center"/>
          </w:tcPr>
          <w:p w14:paraId="70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</w:t>
            </w:r>
          </w:p>
        </w:tc>
        <w:tc>
          <w:tcPr>
            <w:tcW w:type="dxa" w:w="709"/>
            <w:tcBorders>
              <w:left w:color="000000" w:sz="4" w:val="single"/>
              <w:right w:color="000000" w:sz="4" w:val="single"/>
            </w:tcBorders>
            <w:vAlign w:val="center"/>
          </w:tcPr>
          <w:p w14:paraId="71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</w:t>
            </w:r>
          </w:p>
        </w:tc>
        <w:tc>
          <w:tcPr>
            <w:tcW w:type="dxa" w:w="709"/>
            <w:tcBorders>
              <w:left w:color="000000" w:sz="4" w:val="single"/>
              <w:right w:color="000000" w:sz="4" w:val="single"/>
            </w:tcBorders>
            <w:vAlign w:val="center"/>
          </w:tcPr>
          <w:p w14:paraId="72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4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  <w:highlight w:val="green"/>
              </w:rPr>
            </w:pPr>
            <w:r>
              <w:rPr>
                <w:rFonts w:ascii="Times New Roman" w:hAnsi="Times New Roman"/>
                <w:sz w:val="20"/>
                <w:highlight w:val="green"/>
              </w:rPr>
              <w:t>зеленая</w:t>
            </w:r>
          </w:p>
        </w:tc>
      </w:tr>
      <w:tr>
        <w:tc>
          <w:tcPr>
            <w:tcW w:type="dxa" w:w="23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00000">
            <w:pPr>
              <w:widowControl w:val="1"/>
              <w:ind w:right="-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Развитие физической культуры и спорта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00000">
            <w:pPr>
              <w:widowControl w:val="1"/>
              <w:ind w:right="-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Доля населения, систематически занимающегося физической культурой и спортом, %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41,9</w:t>
            </w:r>
          </w:p>
        </w:tc>
        <w:tc>
          <w:tcPr>
            <w:tcW w:type="dxa" w:w="708"/>
            <w:tcBorders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54,7</w:t>
            </w:r>
          </w:p>
        </w:tc>
        <w:tc>
          <w:tcPr>
            <w:tcW w:type="dxa" w:w="709"/>
            <w:tcBorders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55</w:t>
            </w:r>
          </w:p>
        </w:tc>
        <w:tc>
          <w:tcPr>
            <w:tcW w:type="dxa" w:w="709"/>
            <w:tcBorders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56,2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00000">
            <w:pPr>
              <w:widowControl w:val="1"/>
              <w:ind w:right="-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63,9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  <w:highlight w:val="green"/>
              </w:rPr>
            </w:pPr>
            <w:r>
              <w:rPr>
                <w:rFonts w:ascii="Times New Roman" w:hAnsi="Times New Roman"/>
                <w:sz w:val="20"/>
                <w:highlight w:val="green"/>
              </w:rPr>
              <w:t>зеленая</w:t>
            </w:r>
          </w:p>
        </w:tc>
      </w:tr>
      <w:tr>
        <w:tc>
          <w:tcPr>
            <w:tcW w:type="dxa" w:w="9632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Рост качества среды жизнедеятельности</w:t>
            </w:r>
          </w:p>
        </w:tc>
      </w:tr>
      <w:tr>
        <w:trPr>
          <w:trHeight w:hRule="atLeast" w:val="274"/>
        </w:trPr>
        <w:tc>
          <w:tcPr>
            <w:tcW w:type="dxa" w:w="23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00000">
            <w:pPr>
              <w:widowControl w:val="1"/>
              <w:ind w:right="-2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Развитие жилищного хозяйства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00000">
            <w:pPr>
              <w:widowControl w:val="1"/>
              <w:ind w:right="-2"/>
              <w:rPr>
                <w:rFonts w:ascii="Times New Roman" w:hAnsi="Times New Roman"/>
                <w:color w:val="000000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</w:rPr>
              <w:t>Ввод жилья, тыс. м</w:t>
            </w:r>
            <w:r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3,1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right w:color="000000" w:sz="4" w:val="single"/>
            </w:tcBorders>
            <w:vAlign w:val="center"/>
          </w:tcPr>
          <w:p w14:paraId="81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3,4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right w:color="000000" w:sz="4" w:val="single"/>
            </w:tcBorders>
            <w:vAlign w:val="center"/>
          </w:tcPr>
          <w:p w14:paraId="82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3,5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right w:color="000000" w:sz="4" w:val="single"/>
            </w:tcBorders>
            <w:vAlign w:val="center"/>
          </w:tcPr>
          <w:p w14:paraId="83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4,1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7,5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  <w:highlight w:val="green"/>
              </w:rPr>
            </w:pPr>
            <w:r>
              <w:rPr>
                <w:rFonts w:ascii="Times New Roman" w:hAnsi="Times New Roman"/>
                <w:sz w:val="20"/>
                <w:highlight w:val="green"/>
              </w:rPr>
              <w:t>зеленая</w:t>
            </w:r>
          </w:p>
        </w:tc>
      </w:tr>
      <w:tr>
        <w:tc>
          <w:tcPr>
            <w:tcW w:type="dxa" w:w="23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00000">
            <w:pPr>
              <w:widowControl w:val="1"/>
              <w:ind w:right="-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Обеспеченность жильем, м</w:t>
            </w:r>
            <w:r>
              <w:rPr>
                <w:rFonts w:ascii="Times New Roman" w:hAnsi="Times New Roman"/>
                <w:sz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</w:rPr>
              <w:t xml:space="preserve"> / жителя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22,6</w:t>
            </w:r>
          </w:p>
        </w:tc>
        <w:tc>
          <w:tcPr>
            <w:tcW w:type="dxa" w:w="708"/>
            <w:tcBorders>
              <w:left w:color="000000" w:sz="4" w:val="single"/>
              <w:right w:color="000000" w:sz="4" w:val="single"/>
            </w:tcBorders>
            <w:vAlign w:val="center"/>
          </w:tcPr>
          <w:p w14:paraId="88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23,4</w:t>
            </w:r>
          </w:p>
        </w:tc>
        <w:tc>
          <w:tcPr>
            <w:tcW w:type="dxa" w:w="709"/>
            <w:tcBorders>
              <w:left w:color="000000" w:sz="4" w:val="single"/>
              <w:right w:color="000000" w:sz="4" w:val="single"/>
            </w:tcBorders>
            <w:vAlign w:val="center"/>
          </w:tcPr>
          <w:p w14:paraId="89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23,3</w:t>
            </w:r>
          </w:p>
        </w:tc>
        <w:tc>
          <w:tcPr>
            <w:tcW w:type="dxa" w:w="709"/>
            <w:tcBorders>
              <w:left w:color="000000" w:sz="4" w:val="single"/>
              <w:right w:color="000000" w:sz="4" w:val="single"/>
            </w:tcBorders>
            <w:vAlign w:val="center"/>
          </w:tcPr>
          <w:p w14:paraId="8A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23,8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27,11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  <w:highlight w:val="green"/>
              </w:rPr>
            </w:pPr>
            <w:r>
              <w:rPr>
                <w:rFonts w:ascii="Times New Roman" w:hAnsi="Times New Roman"/>
                <w:sz w:val="20"/>
                <w:highlight w:val="green"/>
              </w:rPr>
              <w:t>зеленая</w:t>
            </w:r>
          </w:p>
        </w:tc>
      </w:tr>
      <w:tr>
        <w:trPr>
          <w:trHeight w:hRule="atLeast" w:val="593"/>
        </w:trPr>
        <w:tc>
          <w:tcPr>
            <w:tcW w:type="dxa" w:w="23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00000">
            <w:pPr>
              <w:widowControl w:val="1"/>
              <w:ind w:right="-2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Обеспечение общественной безопасности и правопорядка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00000">
            <w:pPr>
              <w:widowControl w:val="1"/>
              <w:ind w:right="-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Уровень преступности, случаев на 100 тыс. человек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2188</w:t>
            </w:r>
          </w:p>
        </w:tc>
        <w:tc>
          <w:tcPr>
            <w:tcW w:type="dxa" w:w="708"/>
            <w:tcBorders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1499</w:t>
            </w:r>
          </w:p>
        </w:tc>
        <w:tc>
          <w:tcPr>
            <w:tcW w:type="dxa" w:w="709"/>
            <w:tcBorders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1459</w:t>
            </w:r>
          </w:p>
        </w:tc>
        <w:tc>
          <w:tcPr>
            <w:tcW w:type="dxa" w:w="709"/>
            <w:tcBorders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1398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3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1157,6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00000">
            <w:pPr>
              <w:widowControl w:val="1"/>
              <w:ind w:right="-2"/>
              <w:jc w:val="center"/>
              <w:rPr>
                <w:rFonts w:ascii="Times New Roman" w:hAnsi="Times New Roman"/>
                <w:sz w:val="20"/>
                <w:highlight w:val="green"/>
              </w:rPr>
            </w:pPr>
            <w:r>
              <w:rPr>
                <w:rFonts w:ascii="Times New Roman" w:hAnsi="Times New Roman"/>
                <w:sz w:val="20"/>
                <w:highlight w:val="green"/>
              </w:rPr>
              <w:t>зеленая</w:t>
            </w:r>
          </w:p>
        </w:tc>
      </w:tr>
    </w:tbl>
    <w:p w14:paraId="95000000">
      <w:pPr>
        <w:pStyle w:val="Style_2"/>
        <w:widowControl w:val="1"/>
        <w:ind/>
        <w:jc w:val="both"/>
        <w:rPr>
          <w:rFonts w:ascii="Times New Roman" w:hAnsi="Times New Roman"/>
        </w:rPr>
      </w:pPr>
    </w:p>
    <w:p w14:paraId="96000000">
      <w:pPr>
        <w:widowControl w:val="1"/>
        <w:spacing w:after="0" w:line="276" w:lineRule="auto"/>
        <w:ind w:firstLine="709"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Сравнение фактических показателей 2024 года с целевыми значениями по принципу «светофора» выявляет как значительные успехи, так и критические провалы. В «зеленой» зоне оказались преимущественно социальные и трудовые показатели: численность занятых в экономике превысила цели, уровень безработицы значительно ниже целевого, а среднемесячная зарплата – выше; достигнуты или превышены цели по доступности дошкольного образования, доле населения, занимающегося спортом, вводу жилья и обеспеченности им, а уровень преступности значительно ниже целевого показателя.</w:t>
      </w:r>
      <w:r>
        <w:t xml:space="preserve"> </w:t>
      </w:r>
      <w:r>
        <w:rPr>
          <w:rFonts w:ascii="Times New Roman" w:hAnsi="Times New Roman"/>
          <w:sz w:val="28"/>
        </w:rPr>
        <w:t>Количество субъектов малого и среднего предпринимательства</w:t>
      </w:r>
      <w:r>
        <w:rPr>
          <w:rFonts w:ascii="Times New Roman" w:hAnsi="Times New Roman"/>
          <w:sz w:val="28"/>
        </w:rPr>
        <w:t xml:space="preserve"> значительно</w:t>
      </w:r>
      <w:r>
        <w:rPr>
          <w:rFonts w:ascii="Times New Roman" w:hAnsi="Times New Roman"/>
          <w:sz w:val="28"/>
        </w:rPr>
        <w:t xml:space="preserve"> увеличилось благодаря</w:t>
      </w:r>
      <w:r>
        <w:rPr>
          <w:rFonts w:ascii="Times New Roman" w:hAnsi="Times New Roman"/>
          <w:sz w:val="28"/>
        </w:rPr>
        <w:t xml:space="preserve"> рост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 числа «самозанятых»</w:t>
      </w:r>
      <w:r>
        <w:rPr>
          <w:rFonts w:ascii="Times New Roman" w:hAnsi="Times New Roman"/>
          <w:sz w:val="28"/>
        </w:rPr>
        <w:t>.</w:t>
      </w:r>
    </w:p>
    <w:p w14:paraId="97000000">
      <w:pPr>
        <w:widowControl w:val="1"/>
        <w:spacing w:after="0" w:line="276" w:lineRule="auto"/>
        <w:ind w:firstLine="709"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«желтой» зоне находятся показатели с положительной динамикой, не достигшие амбициозных целей: индекс производства продукции сельского хозяйства не дотянул до целевого значения, а инвестиции на душу населения оказались между консервативным и целевым сценариями.</w:t>
      </w:r>
    </w:p>
    <w:p w14:paraId="98000000">
      <w:pPr>
        <w:widowControl w:val="1"/>
        <w:spacing w:after="0" w:line="276" w:lineRule="auto"/>
        <w:ind w:firstLine="709"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«красной» зоне оказались </w:t>
      </w:r>
      <w:r>
        <w:rPr>
          <w:rFonts w:ascii="Times New Roman" w:hAnsi="Times New Roman"/>
          <w:sz w:val="28"/>
        </w:rPr>
        <w:t>все три ключевых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демографических</w:t>
      </w:r>
      <w:r>
        <w:rPr>
          <w:rFonts w:ascii="Times New Roman" w:hAnsi="Times New Roman"/>
          <w:sz w:val="28"/>
        </w:rPr>
        <w:t xml:space="preserve"> показател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: численность населения, рождаемость и смертность, находятся в критическом состоянии; смертность значительно превысила даже консервативный прогноз, а рождаемость упала до критически низкого уровня.</w:t>
      </w:r>
    </w:p>
    <w:p w14:paraId="99000000">
      <w:pPr>
        <w:widowControl w:val="1"/>
        <w:spacing w:after="0" w:line="276" w:lineRule="auto"/>
        <w:ind w:firstLine="709"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бщий объем инвестиций также оказался ниже консервативного сценария</w:t>
      </w:r>
      <w:r>
        <w:rPr>
          <w:rFonts w:ascii="Times New Roman" w:hAnsi="Times New Roman"/>
          <w:sz w:val="28"/>
        </w:rPr>
        <w:t>.</w:t>
      </w:r>
    </w:p>
    <w:p w14:paraId="9A000000">
      <w:pPr>
        <w:widowControl w:val="1"/>
        <w:spacing w:after="0" w:line="360" w:lineRule="auto"/>
        <w:ind w:firstLine="709" w:right="-2"/>
        <w:jc w:val="both"/>
        <w:rPr>
          <w:rFonts w:ascii="Times New Roman" w:hAnsi="Times New Roman"/>
          <w:sz w:val="28"/>
        </w:rPr>
      </w:pPr>
    </w:p>
    <w:p w14:paraId="9B000000">
      <w:pPr>
        <w:widowControl w:val="1"/>
        <w:spacing w:after="0" w:line="360" w:lineRule="auto"/>
        <w:ind w:firstLine="709" w:right="-2"/>
        <w:jc w:val="both"/>
        <w:rPr>
          <w:rFonts w:ascii="Times New Roman" w:hAnsi="Times New Roman"/>
          <w:sz w:val="28"/>
        </w:rPr>
      </w:pPr>
    </w:p>
    <w:p w14:paraId="9C000000"/>
    <w:p w14:paraId="9D000000"/>
    <w:p w14:paraId="9E000000">
      <w:pPr>
        <w:widowControl w:val="1"/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Приложение 2</w:t>
      </w:r>
    </w:p>
    <w:p w14:paraId="9F000000">
      <w:pPr>
        <w:widowControl w:val="1"/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к постановлению АКМО от 24.08.2026 № 85</w:t>
      </w:r>
    </w:p>
    <w:p w14:paraId="A0000000">
      <w:pPr>
        <w:widowControl w:val="1"/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8"/>
        </w:rPr>
      </w:pPr>
    </w:p>
    <w:p w14:paraId="A1000000">
      <w:pPr>
        <w:widowControl w:val="1"/>
        <w:spacing w:after="0" w:line="276" w:lineRule="auto"/>
        <w:ind w:firstLine="567"/>
        <w:jc w:val="center"/>
        <w:rPr>
          <w:rFonts w:ascii="Times New Roman" w:hAnsi="Times New Roman"/>
          <w:b w:val="1"/>
          <w:color w:val="000000"/>
          <w:sz w:val="32"/>
        </w:rPr>
      </w:pPr>
      <w:r>
        <w:rPr>
          <w:rFonts w:ascii="Times New Roman" w:hAnsi="Times New Roman"/>
          <w:b w:val="1"/>
          <w:sz w:val="32"/>
        </w:rPr>
        <w:t>Описательная часть комплекса мероприятий, обеспечивающих достижение реализации долгосрочных целей Стратегии социально – экономического развития Крапивинского муниципального округа</w:t>
      </w:r>
    </w:p>
    <w:p w14:paraId="A2000000">
      <w:pPr>
        <w:widowControl w:val="1"/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8"/>
        </w:rPr>
      </w:pPr>
    </w:p>
    <w:p w14:paraId="A3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color w:val="000000"/>
          <w:sz w:val="28"/>
          <w:u w:val="single"/>
        </w:rPr>
      </w:pPr>
      <w:r>
        <w:rPr>
          <w:rFonts w:ascii="Times New Roman" w:hAnsi="Times New Roman"/>
          <w:color w:val="000000"/>
          <w:sz w:val="28"/>
        </w:rPr>
        <w:t xml:space="preserve">2024 год является второй контрольной точкой в достижении показателей Стратегии социально – экономического развития Крапивинского муниципального округа до 2035 гола. За истекшие семь лет </w:t>
      </w:r>
      <w:r>
        <w:rPr>
          <w:rFonts w:ascii="Times New Roman" w:hAnsi="Times New Roman"/>
          <w:i w:val="1"/>
          <w:color w:val="000000"/>
          <w:sz w:val="28"/>
        </w:rPr>
        <w:t>(2018-2024гг.)</w:t>
      </w:r>
      <w:r>
        <w:rPr>
          <w:rFonts w:ascii="Times New Roman" w:hAnsi="Times New Roman"/>
          <w:color w:val="000000"/>
          <w:sz w:val="28"/>
        </w:rPr>
        <w:t xml:space="preserve"> были выполнены мероприятия во всех сферах деятельности.</w:t>
      </w:r>
    </w:p>
    <w:p w14:paraId="A4000000">
      <w:pPr>
        <w:widowControl w:val="1"/>
        <w:spacing w:after="0" w:line="276" w:lineRule="auto"/>
        <w:ind w:firstLine="567"/>
        <w:jc w:val="center"/>
        <w:rPr>
          <w:rFonts w:ascii="Times New Roman" w:hAnsi="Times New Roman"/>
          <w:b w:val="1"/>
          <w:color w:val="000000"/>
          <w:sz w:val="32"/>
          <w:u w:val="single"/>
        </w:rPr>
      </w:pPr>
      <w:r>
        <w:rPr>
          <w:rFonts w:ascii="Times New Roman" w:hAnsi="Times New Roman"/>
          <w:b w:val="1"/>
          <w:color w:val="000000"/>
          <w:sz w:val="32"/>
          <w:u w:val="single"/>
        </w:rPr>
        <w:t>Стратегическое направление: Рост экономического потенциала</w:t>
      </w:r>
    </w:p>
    <w:p w14:paraId="A5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Цель: Повышение эффективности и устойчивое развитие производства, переработки и реализации сельскохозяйственной продукции</w:t>
      </w:r>
    </w:p>
    <w:p w14:paraId="A6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Развитие животноводства. Применение современных, перспективных методов содержания крупного рогатого скота</w:t>
      </w:r>
    </w:p>
    <w:p w14:paraId="A7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2020 году введен в эксплуатацию новый животноводческий комплекс на 400 голов в ООО «Агрохолдинг «Кузбасский». В 2021 году производство молока увеличилось на 7%. Дополнительно создано 45 рабочих мест.</w:t>
      </w:r>
    </w:p>
    <w:p w14:paraId="A8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2017 году у ИП Полухин Н.И. поголовье свиней составляло 560 голов, 34 головы</w:t>
      </w:r>
      <w:r>
        <w:rPr>
          <w:rFonts w:ascii="Calibri" w:hAnsi="Calibri"/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овец. С 2018 года ИП Полухин Н.И. занимается развитием растениеводства.</w:t>
      </w:r>
    </w:p>
    <w:p w14:paraId="A9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ООО «Банновское» развивает мясное животноводство. На конец 2025 года поголовье мясного КРС составило 529 голов.</w:t>
      </w:r>
    </w:p>
    <w:p w14:paraId="AA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Повышение плодородия почв, перспектива элитного семеноводства зерновых культур, увеличение посевных площадей зерновых и технических культур</w:t>
      </w:r>
    </w:p>
    <w:p w14:paraId="AB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Ежегодно наблюдается рост валового объема сельскохозяйственной продукции: </w:t>
      </w:r>
    </w:p>
    <w:p w14:paraId="AC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i w:val="1"/>
          <w:color w:val="000000"/>
          <w:sz w:val="28"/>
          <w:highlight w:val="yellow"/>
        </w:rPr>
      </w:pPr>
      <w:r>
        <w:rPr>
          <w:rFonts w:ascii="Times New Roman" w:hAnsi="Times New Roman"/>
          <w:color w:val="000000"/>
          <w:sz w:val="28"/>
        </w:rPr>
        <w:t>- урожай зерновых и зернобобовых культур:</w:t>
      </w:r>
    </w:p>
    <w:p w14:paraId="AD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2018 – 18,5 ц/га, рост к 2017 году на 5,7%; </w:t>
      </w:r>
    </w:p>
    <w:p w14:paraId="AE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2019 - 19,4 ц/га, рост к 2018 году на 4,9%; </w:t>
      </w:r>
    </w:p>
    <w:p w14:paraId="AF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2020 - 21,9 ц/га, рост к 2019 году на 12,9%; </w:t>
      </w:r>
    </w:p>
    <w:p w14:paraId="B0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2021 – 27,3 ц/га, рост к 2020 году на 24,7%; </w:t>
      </w:r>
    </w:p>
    <w:p w14:paraId="B1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2022 – 33,6 ц/га, рост к 2021 году на 23,1%; </w:t>
      </w:r>
    </w:p>
    <w:p w14:paraId="B2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2023 – 19,8 ц/га, спад к 2022 году на 41,1%; </w:t>
      </w:r>
    </w:p>
    <w:p w14:paraId="B3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2024 – 28,1 ц/га, рост к 2023 году на 41,9%.</w:t>
      </w:r>
    </w:p>
    <w:p w14:paraId="B4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Рост урожайности зерновых и зернобобовых культур в 2024 году к 2018 году составил 51,9%.</w:t>
      </w:r>
    </w:p>
    <w:p w14:paraId="B5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производство масличных культур </w:t>
      </w:r>
      <w:r>
        <w:rPr>
          <w:rFonts w:ascii="Times New Roman" w:hAnsi="Times New Roman"/>
          <w:i w:val="1"/>
          <w:color w:val="000000"/>
          <w:sz w:val="28"/>
        </w:rPr>
        <w:t>(рапс и сурепица)</w:t>
      </w:r>
      <w:r>
        <w:rPr>
          <w:rFonts w:ascii="Times New Roman" w:hAnsi="Times New Roman"/>
          <w:color w:val="000000"/>
          <w:sz w:val="28"/>
        </w:rPr>
        <w:t>:</w:t>
      </w:r>
    </w:p>
    <w:p w14:paraId="B6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2018 – 5,6 тыс. тонн, рост к 2017 году в 3 раза;</w:t>
      </w:r>
    </w:p>
    <w:p w14:paraId="B7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2019 - 8,2 тыс. тонн, рост к 2018 году на 46,4%;</w:t>
      </w:r>
    </w:p>
    <w:p w14:paraId="B8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2020 - 12,4 тыс. тонн, рост к 2019 году на 51,2%;</w:t>
      </w:r>
    </w:p>
    <w:p w14:paraId="B9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2021 - 15,2 тыс. тонн, рост к 2020 году на 22,3%;</w:t>
      </w:r>
    </w:p>
    <w:p w14:paraId="BA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2022 – 19,8 тыс. тонн, рост к 2021 году на 30,3%;</w:t>
      </w:r>
    </w:p>
    <w:p w14:paraId="BB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2023 – 24,4 тыс. тонн, рост к 2022 году на 23,3%;</w:t>
      </w:r>
    </w:p>
    <w:p w14:paraId="BC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2024 – 27,6 тыс. тонн, рост к 2023 году на 13,1%.</w:t>
      </w:r>
    </w:p>
    <w:p w14:paraId="BD000000">
      <w:pPr>
        <w:widowControl w:val="1"/>
        <w:spacing w:after="0" w:line="276" w:lineRule="auto"/>
        <w:ind w:firstLine="567"/>
        <w:jc w:val="both"/>
        <w:rPr>
          <w:rFonts w:ascii="Calibri" w:hAnsi="Calibri"/>
          <w:color w:val="000000"/>
          <w:sz w:val="28"/>
          <w:highlight w:val="yellow"/>
        </w:rPr>
      </w:pPr>
      <w:r>
        <w:rPr>
          <w:rFonts w:ascii="Times New Roman" w:hAnsi="Times New Roman"/>
          <w:color w:val="000000"/>
          <w:sz w:val="28"/>
        </w:rPr>
        <w:t>Производство масличных культур в 2024 году к 2018 году выросло в пять раз.</w:t>
      </w:r>
      <w:r>
        <w:rPr>
          <w:rFonts w:ascii="Calibri" w:hAnsi="Calibri"/>
          <w:color w:val="000000"/>
          <w:sz w:val="28"/>
        </w:rPr>
        <w:t xml:space="preserve"> </w:t>
      </w:r>
    </w:p>
    <w:p w14:paraId="BE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Посевная площадь также увеличивается:</w:t>
      </w:r>
    </w:p>
    <w:p w14:paraId="BF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зерновые и зернобобовые культуры:</w:t>
      </w:r>
    </w:p>
    <w:p w14:paraId="C0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2018 – 35824 га, спад к 2017 году на 14,8%; </w:t>
      </w:r>
    </w:p>
    <w:p w14:paraId="C1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2019 – 30239 га, спад к 2018 году на 15,6%; </w:t>
      </w:r>
    </w:p>
    <w:p w14:paraId="C2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2020 – 31342 га, рост к 2019 году на 3,6%; </w:t>
      </w:r>
    </w:p>
    <w:p w14:paraId="C3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2021 – 31464 га, рост к 2020 году на 0,4%; </w:t>
      </w:r>
    </w:p>
    <w:p w14:paraId="C4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2022 – 37117 га, рост к 2021 году на 18%; </w:t>
      </w:r>
    </w:p>
    <w:p w14:paraId="C5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2023 – 36905 га, спад к 2022 году на 0,6%; </w:t>
      </w:r>
    </w:p>
    <w:p w14:paraId="C6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2024 – 37028 га, рост к 2023 году на 0,3%.</w:t>
      </w:r>
    </w:p>
    <w:p w14:paraId="C7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Увеличение посевной площади зерновых и зернобобовых культур с 2018 по 2024 годы составило 3,4%. </w:t>
      </w:r>
    </w:p>
    <w:p w14:paraId="C8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технические </w:t>
      </w:r>
      <w:r>
        <w:rPr>
          <w:rFonts w:ascii="Times New Roman" w:hAnsi="Times New Roman"/>
          <w:i w:val="1"/>
          <w:color w:val="000000"/>
          <w:sz w:val="28"/>
        </w:rPr>
        <w:t>(масличные)</w:t>
      </w:r>
      <w:r>
        <w:rPr>
          <w:rFonts w:ascii="Times New Roman" w:hAnsi="Times New Roman"/>
          <w:color w:val="000000"/>
          <w:sz w:val="28"/>
        </w:rPr>
        <w:t xml:space="preserve"> культуры:</w:t>
      </w:r>
    </w:p>
    <w:p w14:paraId="C9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2018 – 7794 га, рост к 2017 году 2,5 раза; </w:t>
      </w:r>
    </w:p>
    <w:p w14:paraId="CA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2019 – 10427 га, рост к 2018 году на 33,8%; </w:t>
      </w:r>
    </w:p>
    <w:p w14:paraId="CB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2020 – 10441 га, рост к 2019 году на 0,1%; </w:t>
      </w:r>
    </w:p>
    <w:p w14:paraId="CC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2021 – 10161 га, спад к 2020 году на 2,7%; </w:t>
      </w:r>
    </w:p>
    <w:p w14:paraId="CD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2022 – 11113 га, рост к 2021 году на 9,4%; </w:t>
      </w:r>
    </w:p>
    <w:p w14:paraId="CE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2023 – 12495 га, рост к 2022 году на 12,4%; </w:t>
      </w:r>
    </w:p>
    <w:p w14:paraId="CF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2024 – 12669 га, рост к 2023 году на 1,4%.</w:t>
      </w:r>
    </w:p>
    <w:p w14:paraId="D0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Увеличение посевной площади технических культур с 2018 по 2024 годы составило 62,5%.</w:t>
      </w:r>
    </w:p>
    <w:p w14:paraId="D1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Предприниматели и фермеры нашего округа инвестируют собственные средства в развитие агропромышленного комплекса:</w:t>
      </w:r>
    </w:p>
    <w:p w14:paraId="D2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приобретают технику и оборудование: трактора, автомобили КАМАЗ, зерноуборочные комбайны, прицепные опрыскиватели, посевные комплексы, зерносушильные комплексы, склады и овощехранилища, всего 240 единиц;</w:t>
      </w:r>
    </w:p>
    <w:p w14:paraId="D3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 приобретают средства химической защиты растений.</w:t>
      </w:r>
    </w:p>
    <w:p w14:paraId="D4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Участвуем в конкурсе «Агростартап»: за пять лет грантовую поддержку получили 5 человек:</w:t>
      </w:r>
    </w:p>
    <w:p w14:paraId="D5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- 2020 год:</w:t>
      </w:r>
      <w:r>
        <w:rPr>
          <w:rFonts w:ascii="Times New Roman" w:hAnsi="Times New Roman"/>
          <w:i w:val="1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Харламов Сергей и Ремпе Игорь</w:t>
      </w:r>
      <w:r>
        <w:rPr>
          <w:rFonts w:ascii="Calibri" w:hAnsi="Calibri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по 1 млн. 900 тыс. руб.;</w:t>
      </w:r>
    </w:p>
    <w:p w14:paraId="D6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- 2021 год: Полухин Сергей – 4,0 млн. руб.;</w:t>
      </w:r>
    </w:p>
    <w:p w14:paraId="D7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- 2022 год: Малашкина Ольга Владимировна </w:t>
      </w:r>
      <w:r>
        <w:rPr>
          <w:rFonts w:ascii="Times New Roman" w:hAnsi="Times New Roman"/>
          <w:i w:val="1"/>
          <w:color w:val="000000"/>
          <w:sz w:val="28"/>
        </w:rPr>
        <w:t>(с. Барачаты)</w:t>
      </w:r>
      <w:r>
        <w:rPr>
          <w:rFonts w:ascii="Times New Roman" w:hAnsi="Times New Roman"/>
          <w:color w:val="000000"/>
          <w:sz w:val="28"/>
        </w:rPr>
        <w:t xml:space="preserve"> на развитие мясного животноводства, 3,582 млн. рублей;</w:t>
      </w:r>
    </w:p>
    <w:p w14:paraId="D8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- 2023 год: Голошумов Степан Михайлович </w:t>
      </w:r>
      <w:r>
        <w:rPr>
          <w:rFonts w:ascii="Times New Roman" w:hAnsi="Times New Roman"/>
          <w:i w:val="1"/>
          <w:color w:val="000000"/>
          <w:sz w:val="28"/>
        </w:rPr>
        <w:t>(с. Перехляй)</w:t>
      </w:r>
      <w:r>
        <w:rPr>
          <w:rFonts w:ascii="Times New Roman" w:hAnsi="Times New Roman"/>
          <w:color w:val="000000"/>
          <w:sz w:val="28"/>
        </w:rPr>
        <w:t xml:space="preserve"> на развитие молочного животноводства, 4,5 млн. рублей; </w:t>
      </w:r>
    </w:p>
    <w:p w14:paraId="D9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конкурсе «Агропрогресс» в 2023 году грант получил Варсобин Андрей Сергеевич </w:t>
      </w:r>
      <w:r>
        <w:rPr>
          <w:rFonts w:ascii="Times New Roman" w:hAnsi="Times New Roman"/>
          <w:i w:val="1"/>
          <w:color w:val="000000"/>
          <w:sz w:val="28"/>
        </w:rPr>
        <w:t>(пгт. Крапивинский)</w:t>
      </w:r>
      <w:r>
        <w:rPr>
          <w:rFonts w:ascii="Times New Roman" w:hAnsi="Times New Roman"/>
          <w:color w:val="000000"/>
          <w:sz w:val="28"/>
        </w:rPr>
        <w:t xml:space="preserve"> на развитие мясного животноводства, 10,002 млн. рублей.</w:t>
      </w:r>
    </w:p>
    <w:p w14:paraId="DA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 2020 по 2024 годы в оборот введено более 13 тыс га пашни предприятиями: АО «Ваганово», ООО «Золотая Нива», ООО «Агрохолдинг «Кузбасский» и ООО «Банновское». </w:t>
      </w:r>
    </w:p>
    <w:p w14:paraId="DB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i w:val="1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Общая площадь земель сельскохозяйственного назначения в Крапивинском муниципальном округе составляет 132000 га. </w:t>
      </w:r>
      <w:r>
        <w:rPr>
          <w:rFonts w:ascii="Times New Roman" w:hAnsi="Times New Roman"/>
          <w:i w:val="1"/>
          <w:color w:val="000000"/>
          <w:sz w:val="28"/>
        </w:rPr>
        <w:t xml:space="preserve">(74300га – пашни, 26700га – сенокосы, 30700га – пастбища). </w:t>
      </w:r>
    </w:p>
    <w:p w14:paraId="DC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Силами ГАУ «Кемеровский лесхоз» Департамента лесного комплекса Кузбасса в 2024 году в поселке Зеленовский построен тепличный комплекс </w:t>
      </w:r>
      <w:r>
        <w:rPr>
          <w:rFonts w:ascii="Times New Roman" w:hAnsi="Times New Roman"/>
          <w:i w:val="1"/>
          <w:color w:val="000000"/>
          <w:sz w:val="28"/>
        </w:rPr>
        <w:t>(площадью 2400 кв.м.)</w:t>
      </w:r>
      <w:r>
        <w:rPr>
          <w:rFonts w:ascii="Times New Roman" w:hAnsi="Times New Roman"/>
          <w:color w:val="000000"/>
          <w:sz w:val="28"/>
        </w:rPr>
        <w:t xml:space="preserve"> по выращиванию сеянцев хвойных пород деревьев с закрытой корневой системой. Планируется в год производить 1 млн.шт. саженцев для дальнейшего восстановления лесов. Дополнительно создано 10-ть рабочих мест.</w:t>
      </w:r>
    </w:p>
    <w:p w14:paraId="DD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Развитие заготовительной деятельности</w:t>
      </w:r>
    </w:p>
    <w:p w14:paraId="DE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За 2017 – 2025 годы объем реализованного молока через МСПК «МОЛМИЛК» увеличился на 52%.</w:t>
      </w:r>
    </w:p>
    <w:p w14:paraId="DF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2018 – 2020 годах ПК «Крапивинский реализовывал овощи и дикоросы. С 2021 года данная реализация не осуществляется. </w:t>
      </w:r>
    </w:p>
    <w:p w14:paraId="E0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Вхождение предприятий района в созданный в Кузбассе сельскохозяйственный кластер</w:t>
      </w:r>
    </w:p>
    <w:p w14:paraId="E1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 01.01.2025 года в МСПК «МОЛМИЛК» 142 члена кооператива, из них 130 ЛПХ, 3 К(Ф)Х, 9 сельскохозяйственных предприятий. МСПК «МОЛМИЛК» осуществляет деятельность по сбору и транспортировке молока и ведет деятельность как в Крапивинском муниципальном округе, так и на соседних территориях. За 2024 год у молокосдатчиков собрано 6,5 тыс. тонн молока, из них 2,6 тыс. тонн на территории Крапивинского округа.</w:t>
      </w:r>
    </w:p>
    <w:p w14:paraId="E2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color w:val="000000"/>
          <w:sz w:val="28"/>
        </w:rPr>
      </w:pPr>
    </w:p>
    <w:p w14:paraId="E3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Цель: Дальнейшее развитие отраслей промышленности на основе использования ресурсного потенциала</w:t>
      </w:r>
    </w:p>
    <w:p w14:paraId="E4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Развитие пищевой промышленности</w:t>
      </w:r>
    </w:p>
    <w:p w14:paraId="E5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Значимую роль в социально-экономическом развитии округа играет малый и средний бизнес.  Ежегодно открываются новые магазины, самые крупные:</w:t>
      </w:r>
    </w:p>
    <w:p w14:paraId="E6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в 2019 в пгт. Крапивинский открыто предприятие общественного питания – кафе «Мандаринка» и магазин «Светофор»;</w:t>
      </w:r>
    </w:p>
    <w:p w14:paraId="E7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в 2020 году в пгт. Крапивинский открыты магазины «Монетка» и «DNS»;</w:t>
      </w:r>
    </w:p>
    <w:p w14:paraId="E8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в марте 2021 года в пгт. Зеленогорский построен и введен в эксплуатацию магазин «Пятерочка», в октябре текущего года открыт магазин «Магнит». В пгт. Крапивинский и Зеленогорский открылся первый пункт выдачи интернет – товаров ОZON;</w:t>
      </w:r>
    </w:p>
    <w:p w14:paraId="E9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в октябре 2022 года года в пгт. Зеленогорский открылись магазины «Fix Price» и «Монетка».</w:t>
      </w:r>
      <w:r>
        <w:rPr>
          <w:rFonts w:ascii="Calibri" w:hAnsi="Calibri"/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В пгт. Крапивинский в июне начали функционировать еще одна автозаправочная станция ООО "Национальная топливная ассоциация" и аптека низких цен ООО «Декабрь»;</w:t>
      </w:r>
    </w:p>
    <w:p w14:paraId="EA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в 2023 году в поселке Зеленогорский открылся</w:t>
      </w:r>
      <w:r>
        <w:rPr>
          <w:rFonts w:ascii="Calibri" w:hAnsi="Calibri"/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магазин «Бристоль».</w:t>
      </w:r>
      <w:r>
        <w:rPr>
          <w:rFonts w:ascii="Calibri" w:hAnsi="Calibri"/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В поселке Крапивинский открылось 3 новых магазинов: «1001 мелочь», «Магнит Косметик», «Ярче»;</w:t>
      </w:r>
    </w:p>
    <w:p w14:paraId="EB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 в 2024 году в пгт. Крапивинский открылось 5 магазинов: «Мир одежды и обуви», «Мебельный», «Центр одежды и обуви», «Монетка».</w:t>
      </w:r>
      <w:r>
        <w:rPr>
          <w:rFonts w:ascii="Calibri" w:hAnsi="Calibri"/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В июне 2024 года в пгт. Крапивинский открылась новая аптека «Апрель».</w:t>
      </w:r>
    </w:p>
    <w:p w14:paraId="EC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Ежегодное увеличение продукции</w:t>
      </w:r>
      <w:r>
        <w:rPr>
          <w:rFonts w:ascii="Calibri" w:hAnsi="Calibri"/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ИП Афонасьева и сбыт в магазин «Калина Малина» позволили создать 15 рабочих мест.</w:t>
      </w:r>
    </w:p>
    <w:p w14:paraId="ED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Открытие кафе «Мандаринка» ИП Маслакова Т.И. в 2019 году. В 2023 году открылась «Кондитерская». Создано 15 рабочих мест.</w:t>
      </w:r>
    </w:p>
    <w:p w14:paraId="EE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Запуск цеха по производству минеральной воды «Борисовская» прошёл 21 апреля 2024 года. Производительность линии розлива до 3000 бутылок </w:t>
      </w:r>
      <w:r>
        <w:rPr>
          <w:rFonts w:ascii="Times New Roman" w:hAnsi="Times New Roman"/>
          <w:i w:val="1"/>
          <w:color w:val="000000"/>
          <w:sz w:val="28"/>
        </w:rPr>
        <w:t>(1,5л</w:t>
      </w:r>
      <w:r>
        <w:rPr>
          <w:rFonts w:ascii="Times New Roman" w:hAnsi="Times New Roman"/>
          <w:color w:val="000000"/>
          <w:sz w:val="28"/>
        </w:rPr>
        <w:t xml:space="preserve">) в час. На предприятии организовано 22 новых рабочих места для жителей Крапивинского муниципального округа. В 2025 году налажено производство питьевой негазированной воды «Тайдонская» </w:t>
      </w:r>
      <w:r>
        <w:rPr>
          <w:rFonts w:ascii="Times New Roman" w:hAnsi="Times New Roman"/>
          <w:i w:val="1"/>
          <w:color w:val="000000"/>
          <w:sz w:val="28"/>
        </w:rPr>
        <w:t>(0,5л)</w:t>
      </w:r>
      <w:r>
        <w:rPr>
          <w:rFonts w:ascii="Times New Roman" w:hAnsi="Times New Roman"/>
          <w:color w:val="000000"/>
          <w:sz w:val="28"/>
        </w:rPr>
        <w:t>. Данная продукция поставляется в сетевые магазины и учебные заведения Кузбасса.</w:t>
      </w:r>
    </w:p>
    <w:p w14:paraId="EF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Разработка месторождений прочих полезных ископаемых</w:t>
      </w:r>
    </w:p>
    <w:p w14:paraId="F0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Промышленность в Крапивинском округе ориентирована на использование имеющихся природно-сырьевых ресурсов и переработку сельскохозяйственного сырья.</w:t>
      </w:r>
    </w:p>
    <w:p w14:paraId="F1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Основную долю в объеме промышленного производства занимают предприятия по добыче нерудных полезных ископаемых: базальтов, гравийно-песчаных смесей – более 40% </w:t>
      </w:r>
      <w:r>
        <w:rPr>
          <w:rFonts w:ascii="Times New Roman" w:hAnsi="Times New Roman"/>
          <w:i w:val="1"/>
          <w:color w:val="000000"/>
          <w:sz w:val="28"/>
        </w:rPr>
        <w:t>(ООО «Крапивинский карьер», ООО «Кемеровский каменный карьер», ООО «Сибгеолит»)</w:t>
      </w:r>
      <w:r>
        <w:rPr>
          <w:rFonts w:ascii="Times New Roman" w:hAnsi="Times New Roman"/>
          <w:color w:val="000000"/>
          <w:sz w:val="28"/>
        </w:rPr>
        <w:t>.  ООО «Строймаш» осуществлял деятельность с 2020 по 2022 годы. Всего вышеуказанными организациями создано 36 рабочих мест.</w:t>
      </w:r>
    </w:p>
    <w:p w14:paraId="F2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Ежегодно увеличивается производство товаров и услуг по виду экономической деятельности «Обрабатывающие производства»: с 115,9 млн. руб. в 2018 году до 845,8 млн. руб. в 2024 году. Это связано с увеличением </w:t>
      </w:r>
      <w:r>
        <w:rPr>
          <w:rFonts w:ascii="Times New Roman" w:hAnsi="Times New Roman"/>
          <w:color w:val="000000"/>
          <w:sz w:val="28"/>
        </w:rPr>
        <w:t xml:space="preserve">работ по заготовлению и переработке древесины </w:t>
      </w:r>
      <w:r>
        <w:rPr>
          <w:rFonts w:ascii="Times New Roman" w:hAnsi="Times New Roman"/>
          <w:i w:val="1"/>
          <w:color w:val="000000"/>
          <w:sz w:val="28"/>
        </w:rPr>
        <w:t>(ИП Калинецкий А.Н., ИП Епонешников Д.С., Антоненко А.Н.)</w:t>
      </w:r>
      <w:r>
        <w:rPr>
          <w:rFonts w:ascii="Times New Roman" w:hAnsi="Times New Roman"/>
          <w:color w:val="000000"/>
          <w:sz w:val="28"/>
        </w:rPr>
        <w:t>, а также увеличением объемов выпуска продукции ЗАО «Зеленогорский ЖБИ»</w:t>
      </w:r>
      <w:r>
        <w:rPr>
          <w:rFonts w:ascii="Times New Roman" w:hAnsi="Times New Roman"/>
          <w:i w:val="1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F3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Силами ГАУ «Кемеровский лесхоз» Департамента лесного комплекса Кузбасса в 2024 году в п. Зеленовский построен и введен тепличный комплекс </w:t>
      </w:r>
      <w:r>
        <w:rPr>
          <w:rFonts w:ascii="Times New Roman" w:hAnsi="Times New Roman"/>
          <w:i w:val="1"/>
          <w:color w:val="000000"/>
          <w:sz w:val="28"/>
        </w:rPr>
        <w:t>(площадью 2400 кв.м.)</w:t>
      </w:r>
      <w:r>
        <w:rPr>
          <w:rFonts w:ascii="Times New Roman" w:hAnsi="Times New Roman"/>
          <w:color w:val="000000"/>
          <w:sz w:val="28"/>
        </w:rPr>
        <w:t xml:space="preserve"> по выращиванию сеянцев хвойных пород деревьев с закрытой корневой системой. Планируется в год производить 1 млн.шт. саженцев для дальнейшего восстановления лесов. Создано 10-ть рабочих мест.</w:t>
      </w:r>
    </w:p>
    <w:p w14:paraId="F4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Развитие угледобычи</w:t>
      </w:r>
    </w:p>
    <w:p w14:paraId="F5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Угольная отрасль в Крапивинском муниципальном округе не развита. </w:t>
      </w:r>
    </w:p>
    <w:p w14:paraId="F6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Цель: Обеспечение устойчивого развития малого и среднего предпринимательства</w:t>
      </w:r>
    </w:p>
    <w:p w14:paraId="F7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Содействие в финансовом и имущественном обеспечении развития субъектов малого и среднего предпринимательства</w:t>
      </w:r>
    </w:p>
    <w:p w14:paraId="F8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Значимую роль в социально-экономическом развитии округа играет малый и средний бизнес.  Численность субъектов малого и среднего предпринимательства практически не меняется: 470 единиц в 2018 году, 463 единицы в 2024 году. Они осуществляют деятельность во всех сферах экономики. Основная часть занимается торговлей, общественным питанием и бытовым обслуживанием. С 2019 года на территории округа предприниматели оформляются как самозанятые граждане: с 2019 года 1636 человек. </w:t>
      </w:r>
    </w:p>
    <w:p w14:paraId="F9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Ежегодно ГАУ КО «Мой бизнес» предоставляет информационную, консультационную и образовательную поддержку как на территории нашего округа, так и в городе Кемерово. Организуются выездные мероприятия, семинары, ВКС, встречи.</w:t>
      </w:r>
    </w:p>
    <w:p w14:paraId="FA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Субсидии по поддержке субъектов малого и среднего предпринимательства предоставлялись в 2019-2020 годах:</w:t>
      </w:r>
    </w:p>
    <w:p w14:paraId="FB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- 2019 год: ЗАО «Зеленогорский ЗЖБИ», ИП Афонасьева К.В., ИП Шапошникова А.С.;</w:t>
      </w:r>
    </w:p>
    <w:p w14:paraId="FC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- 2020 год: ООО «Плотниковское», ИП Маслакова Т.И., ИП Сызранов А.А., ИП Ребрикова Е.П., ООО «Ритуальный зал», ИП «Ельцов А.Ю., ИП Шепелева М.Г., ИП Александрова И.А., ИП Скорюпина Т.Н.</w:t>
      </w:r>
    </w:p>
    <w:p w14:paraId="FD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2019 году 3 субъекта малого и среднего предпринимательства ООО «Лада», ПК «Крапивинский» и ИП Афонасьева К.В. получили финансовую поддержку для возмещения части затрат за участие в выставках и ярмарках.</w:t>
      </w:r>
    </w:p>
    <w:p w14:paraId="FE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Субсидии и гранты предоставляются Министерством сельского хозяйства и перерабатывающей промышленности Кузбасса по настоящее время.</w:t>
      </w:r>
    </w:p>
    <w:p w14:paraId="FF00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Содействие в повышении уровня информированности субъектов малого и среднего предпринимательства</w:t>
      </w:r>
    </w:p>
    <w:p w14:paraId="00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Информационные материалы размещены на официальном сайте Крапивинского муниципального округа и в социальных сетях.</w:t>
      </w:r>
    </w:p>
    <w:p w14:paraId="01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Отделом предпринимательства и потребительского рынка АКМО оказываются консультации субъектам МСП и самозанятым гражданам по вопросам ведения предпринимательской деятельности, разрабатываются и составляются бизнес – планы.</w:t>
      </w:r>
    </w:p>
    <w:p w14:paraId="02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Формирование позитивного образа предпринимательства как важного фактора экономико-социального развития района</w:t>
      </w:r>
    </w:p>
    <w:p w14:paraId="03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Выпуск информационного материала поступает от: МКК Государственный Фонд поддержки предпринимательства Кузбасса, ГАУ КО «Мой бизнес», Минпромторга Кузбасса, Минэконоразвития Кузбасса, Минсельхоза Кузбасса.</w:t>
      </w:r>
    </w:p>
    <w:p w14:paraId="04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Цель: Обеспечение развития сферы туризма</w:t>
      </w:r>
    </w:p>
    <w:p w14:paraId="05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Организация зон отдыха на р. Томь</w:t>
      </w:r>
    </w:p>
    <w:p w14:paraId="06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2019 году введен в эксплуатацию загородный дом «Зель Диего» на берегу Томи с номерным фондом, баней, фитобочками, рестораном и т.д. </w:t>
      </w:r>
    </w:p>
    <w:p w14:paraId="07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п. Березовка ООО «Лагуна Тур» установили домики - бани на берегу р. Томь </w:t>
      </w:r>
      <w:r>
        <w:rPr>
          <w:rFonts w:ascii="Times New Roman" w:hAnsi="Times New Roman"/>
          <w:i w:val="1"/>
          <w:color w:val="000000"/>
          <w:sz w:val="28"/>
        </w:rPr>
        <w:t>(сезонные)</w:t>
      </w:r>
      <w:r>
        <w:rPr>
          <w:rFonts w:ascii="Times New Roman" w:hAnsi="Times New Roman"/>
          <w:color w:val="000000"/>
          <w:sz w:val="28"/>
        </w:rPr>
        <w:t>, где ежегодно проходят областные соревнования по ловле рыбы среди любителей.</w:t>
      </w:r>
    </w:p>
    <w:p w14:paraId="08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ООО «Восток Холдинг» планировало организацию базы отдыха: банный комплекс, 6 гостевых домов, гостиница, предприятие общественного питания, административно-хозяйственное помещение, парковка. Строительство административно-хозяйственного помещения идет с 2018 года, завезена мебель. </w:t>
      </w:r>
    </w:p>
    <w:p w14:paraId="09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</w:p>
    <w:p w14:paraId="0A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</w:p>
    <w:p w14:paraId="0B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</w:p>
    <w:p w14:paraId="0C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Развитие инфраструктуры туризма, в том числе на имеющихся объектах</w:t>
      </w:r>
    </w:p>
    <w:p w14:paraId="0D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Многофункциональный комплекс в пгт. Зеленогорский развивается и модернизируется ежегодно: капитальный ремонт хоккейной коробки, текущий ремонт асфальтного полотна трассы, вырубка кустарников и т.д.</w:t>
      </w:r>
    </w:p>
    <w:p w14:paraId="0E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2023 году ООО «ТЭП» выкупил горнолыжный комплекс «Таежный»: построено кафе, модернизировано подъемное оборудование, приобретены новые горнолыжные принадлежности для проката.</w:t>
      </w:r>
    </w:p>
    <w:p w14:paraId="0F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Создание спортивно-туристического комплекса «Тайдон». Развитие инфраструктуры для оказания услуг по обслуживанию туристов путем реконструкции административного-бытового комплекса производственной базы общей площадью помещений 572 кв.м. Количество посетителей - 3000 чел./год. Работы по реконструкции и ремонту проведены.</w:t>
      </w:r>
    </w:p>
    <w:p w14:paraId="10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Благодаря проекту «Твой Кузбасс - твоя инициатива» благоустроили территорию этнографического центра «Мунгатский острог» </w:t>
      </w:r>
      <w:r>
        <w:rPr>
          <w:rFonts w:ascii="Times New Roman" w:hAnsi="Times New Roman"/>
          <w:i w:val="1"/>
          <w:color w:val="000000"/>
          <w:sz w:val="28"/>
        </w:rPr>
        <w:t>(поселок Каменный)</w:t>
      </w:r>
      <w:r>
        <w:rPr>
          <w:rFonts w:ascii="Times New Roman" w:hAnsi="Times New Roman"/>
          <w:color w:val="000000"/>
          <w:sz w:val="28"/>
        </w:rPr>
        <w:t>: поставили две бытовки, выложили дорожки и кострище, полностью переделали купель.</w:t>
      </w:r>
    </w:p>
    <w:p w14:paraId="11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Развитие туризма</w:t>
      </w:r>
    </w:p>
    <w:p w14:paraId="12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Крапивинском муниципальном округе определены приоритетные направления развития туризма, в числе которых ключевой акцент сделан на событийный туризм. В качестве опорных мероприятий, интегрированных в туристскую повестку Кузбасса, определены конно-спортивные соревнования в д. Кабаново и фестиваль «Железное кружево» в пгт. Зеленогорский. В январе проводим двухдневное событие «Крещенские вечерки». Благодаря вышеназванным мероприятиям туристический поток вырос на 40%: с 12418 человек в 2021 году до 17368 человек в 2024 году. </w:t>
      </w:r>
    </w:p>
    <w:p w14:paraId="13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Снегоходный маршрут «Средне-Томский» введен в реестр снегоходных трасс Кемеровской области 17 января 2013 года </w:t>
      </w:r>
      <w:r>
        <w:rPr>
          <w:rFonts w:ascii="Times New Roman" w:hAnsi="Times New Roman"/>
          <w:i w:val="1"/>
          <w:sz w:val="28"/>
          <w:highlight w:val="white"/>
        </w:rPr>
        <w:t>(через села: Арсеново и Салтымаково)</w:t>
      </w:r>
      <w:r>
        <w:rPr>
          <w:rFonts w:ascii="Times New Roman" w:hAnsi="Times New Roman"/>
          <w:sz w:val="28"/>
          <w:highlight w:val="white"/>
        </w:rPr>
        <w:t>. 46-километровый маршрут проходит по территории Бунгарапско-Ажендаровского государственного природного заказника. Трассу проложили для развития экологического туризма. Способ передвижения посетителей по маршруту: снегоход, снегоход с санями, лыжи. Сезон использования маршрута: с момента установления устойчивого ледового покрова р. Тайдон до вскрытия реки Томь.</w:t>
      </w:r>
    </w:p>
    <w:p w14:paraId="14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Маршруты: к памятнику павших в ВОВ, «Загадки Крапивинского гидроузла», «Мистические истории: ложь и правда таежной заимки» включены в школьную образовательную программу.</w:t>
      </w:r>
    </w:p>
    <w:p w14:paraId="15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color w:val="000000"/>
          <w:sz w:val="28"/>
        </w:rPr>
      </w:pPr>
    </w:p>
    <w:p w14:paraId="16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Цель: Содействие инвестиционной деятельности и повышение инвестиционной привлекательности округа</w:t>
      </w:r>
    </w:p>
    <w:p w14:paraId="17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Повышение инвестиционной привлекательности Крапивинского муниципального округа</w:t>
      </w:r>
    </w:p>
    <w:p w14:paraId="18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Ежегодно обновляется инвестиционный профиль </w:t>
      </w:r>
      <w:r>
        <w:rPr>
          <w:rFonts w:ascii="Times New Roman" w:hAnsi="Times New Roman"/>
          <w:i w:val="1"/>
          <w:color w:val="000000"/>
          <w:sz w:val="28"/>
        </w:rPr>
        <w:t>(ранее - инвестиционный паспорт)</w:t>
      </w:r>
      <w:r>
        <w:rPr>
          <w:rFonts w:ascii="Times New Roman" w:hAnsi="Times New Roman"/>
          <w:color w:val="000000"/>
          <w:sz w:val="28"/>
        </w:rPr>
        <w:t xml:space="preserve"> и размещается на официальном сайте АКМО.</w:t>
      </w:r>
    </w:p>
    <w:p w14:paraId="19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Вся информация, необходимая инвестору: инвестиционные проекты и инвестиционные площадки ежеквартально актуализируется на официальном сайте АКМО и на инвестпортале Кузбасса.</w:t>
      </w:r>
    </w:p>
    <w:p w14:paraId="1A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</w:p>
    <w:p w14:paraId="1B010000">
      <w:pPr>
        <w:widowControl w:val="1"/>
        <w:spacing w:after="0" w:line="276" w:lineRule="auto"/>
        <w:ind w:firstLine="567"/>
        <w:jc w:val="center"/>
        <w:rPr>
          <w:rFonts w:ascii="Times New Roman" w:hAnsi="Times New Roman"/>
          <w:b w:val="1"/>
          <w:color w:val="000000"/>
          <w:sz w:val="32"/>
          <w:u w:val="single"/>
        </w:rPr>
      </w:pPr>
      <w:r>
        <w:rPr>
          <w:rFonts w:ascii="Times New Roman" w:hAnsi="Times New Roman"/>
          <w:b w:val="1"/>
          <w:color w:val="000000"/>
          <w:sz w:val="32"/>
          <w:u w:val="single"/>
        </w:rPr>
        <w:t>Стратегическое направление: Формирование благоприятного социального климата</w:t>
      </w:r>
    </w:p>
    <w:p w14:paraId="1C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Цель: Обеспечение трудовой занятости населения и роста доходов трудоспособного населения</w:t>
      </w:r>
    </w:p>
    <w:p w14:paraId="1D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Улучшение ситуации на рынке труда, снижение уровня безработицы</w:t>
      </w:r>
    </w:p>
    <w:p w14:paraId="1E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Ежегодно регистрируются более 20 новых субъектов малого и среднего предпринимательства, создаются более 200 новых мест.</w:t>
      </w:r>
    </w:p>
    <w:p w14:paraId="1F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Уровень регистрируемой безработицы снизился на 65%: с 4,6 в 2018 году до 1,6 в 2024 году </w:t>
      </w:r>
      <w:r>
        <w:rPr>
          <w:rFonts w:ascii="Times New Roman" w:hAnsi="Times New Roman"/>
          <w:i w:val="1"/>
          <w:color w:val="000000"/>
          <w:sz w:val="28"/>
        </w:rPr>
        <w:t xml:space="preserve">(2018 - 4,6; 2019 - 4,8; 2020 - 6,4; 2021 - </w:t>
      </w:r>
      <w:r>
        <w:rPr>
          <w:rFonts w:ascii="Times New Roman" w:hAnsi="Times New Roman"/>
          <w:i w:val="1"/>
          <w:color w:val="000000"/>
          <w:sz w:val="28"/>
        </w:rPr>
        <w:tab/>
      </w:r>
      <w:r>
        <w:rPr>
          <w:rFonts w:ascii="Times New Roman" w:hAnsi="Times New Roman"/>
          <w:i w:val="1"/>
          <w:color w:val="000000"/>
          <w:sz w:val="28"/>
        </w:rPr>
        <w:t>2,6; 2022 -2,7; 2023 - 1,9; 2024 - 1,6)</w:t>
      </w:r>
      <w:r>
        <w:rPr>
          <w:rFonts w:ascii="Times New Roman" w:hAnsi="Times New Roman"/>
          <w:color w:val="000000"/>
          <w:sz w:val="28"/>
        </w:rPr>
        <w:t>.</w:t>
      </w:r>
    </w:p>
    <w:p w14:paraId="20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 2020 по 2024 годы на общественные работы было трудоустроено 582 человека, из них 500 - это осужденные граждане. </w:t>
      </w:r>
    </w:p>
    <w:p w14:paraId="21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Ежегодно организуется временное трудоустройство несовершеннолетних в каникулярное время. С 2018 по 2024 годы было трудоустроено - 990 человек </w:t>
      </w:r>
      <w:r>
        <w:rPr>
          <w:rFonts w:ascii="Times New Roman" w:hAnsi="Times New Roman"/>
          <w:i w:val="1"/>
          <w:color w:val="000000"/>
          <w:sz w:val="28"/>
        </w:rPr>
        <w:t>(2018 - 100; 2019 – 100; 2020 - 100; 2021 - 155; 2022 -145; 2023 - 145; 2024 - 181).</w:t>
      </w:r>
    </w:p>
    <w:p w14:paraId="22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На 01.01.2025 год всего в округе 1636 человек самозанятых. За четыре года </w:t>
      </w:r>
      <w:r>
        <w:rPr>
          <w:rFonts w:ascii="Times New Roman" w:hAnsi="Times New Roman"/>
          <w:i w:val="1"/>
          <w:color w:val="000000"/>
          <w:sz w:val="28"/>
        </w:rPr>
        <w:t>(с 2020 по 2024)</w:t>
      </w:r>
      <w:r>
        <w:rPr>
          <w:rFonts w:ascii="Times New Roman" w:hAnsi="Times New Roman"/>
          <w:color w:val="000000"/>
          <w:sz w:val="28"/>
        </w:rPr>
        <w:t xml:space="preserve"> 285 человек заключили социальный контракт </w:t>
      </w:r>
      <w:r>
        <w:rPr>
          <w:rFonts w:ascii="Times New Roman" w:hAnsi="Times New Roman"/>
          <w:i w:val="1"/>
          <w:color w:val="000000"/>
          <w:sz w:val="28"/>
        </w:rPr>
        <w:t>(ИП, самозанятые, ЛПХ и поиск работы).</w:t>
      </w:r>
    </w:p>
    <w:p w14:paraId="23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Легализация «серого» рынка труда</w:t>
      </w:r>
    </w:p>
    <w:p w14:paraId="24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На официальном сайте администрации КМО в разделе «Экономика» п. «Занятость и трудовые отношения» размещена электронная анкета «неформальная занятость», «серые» схемы оплаты труда, буклеты. Информация добавляется и обновляется по мере необходимости. Видеоролики о проведении информационно-разъяснительной работы в целях снижения уровня теневой занятости и легализации трудовых отношений транслируются в отделе «Мои документы» Крапивинский район, в ТЦЗН Крапивинского района, в ГБУЗ «Крапивинская районная больница».  </w:t>
      </w:r>
    </w:p>
    <w:p w14:paraId="25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 официальном сайте местной газеты «Тайдонские родники» и в печатном издании размещена информация о легализации трудовых отношений.</w:t>
      </w:r>
    </w:p>
    <w:p w14:paraId="26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Буклеты по неформальной занятости размещены на стендах городских и сельских отделов МКУ «Территориальное управление АКМО», в ТЦЗН Крапивинского района, администрации Крапивинского муниципального округа, в местах массового скопления людей </w:t>
      </w:r>
      <w:r>
        <w:rPr>
          <w:rFonts w:ascii="Times New Roman" w:hAnsi="Times New Roman"/>
          <w:i w:val="1"/>
          <w:color w:val="000000"/>
          <w:sz w:val="28"/>
        </w:rPr>
        <w:t>(остановки, автобусы, магазины)</w:t>
      </w:r>
      <w:r>
        <w:rPr>
          <w:rFonts w:ascii="Times New Roman" w:hAnsi="Times New Roman"/>
          <w:color w:val="000000"/>
          <w:sz w:val="28"/>
        </w:rPr>
        <w:t xml:space="preserve">. Профилактические визиты </w:t>
      </w:r>
      <w:r>
        <w:rPr>
          <w:rFonts w:ascii="Times New Roman" w:hAnsi="Times New Roman"/>
          <w:i w:val="1"/>
          <w:color w:val="000000"/>
          <w:sz w:val="28"/>
        </w:rPr>
        <w:t>(магазины, СТО, лесопилки)</w:t>
      </w:r>
      <w:r>
        <w:rPr>
          <w:rFonts w:ascii="Times New Roman" w:hAnsi="Times New Roman"/>
          <w:color w:val="000000"/>
          <w:sz w:val="28"/>
        </w:rPr>
        <w:t xml:space="preserve"> проводятся не реже 1 раза в квартал с целью выявления теневой занятости. Проводятся заседания рабочей группы по снижению нелегальной занятости в КМО не реже 1 раза в квартал. </w:t>
      </w:r>
    </w:p>
    <w:p w14:paraId="27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Благодаря проведенной работе с 2021 года 1636 человек оформились как самозанятые, уровень безработицы снизился до 1,6, увеличился подоходный налог.</w:t>
      </w:r>
    </w:p>
    <w:p w14:paraId="28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Цель: Развитие сферы образования</w:t>
      </w:r>
    </w:p>
    <w:p w14:paraId="29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Создание условий для обеспечения образовательного процесса</w:t>
      </w:r>
    </w:p>
    <w:p w14:paraId="2A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Текущие ремонты всех образовательных учреждений проводится ежегодно в летнее время.</w:t>
      </w:r>
      <w:r>
        <w:rPr>
          <w:rFonts w:ascii="Calibri" w:hAnsi="Calibri"/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Всего за 7 лет проведено ремонтов в 82 учреждениях социальной сферы: </w:t>
      </w:r>
    </w:p>
    <w:p w14:paraId="2B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заменено более 300 окон;</w:t>
      </w:r>
    </w:p>
    <w:p w14:paraId="2C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проведен ремонт 19 кровель.</w:t>
      </w:r>
    </w:p>
    <w:p w14:paraId="2D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Важное событие 2018-2019 годов – это реконструкция Шевелевской средней школы.</w:t>
      </w:r>
    </w:p>
    <w:p w14:paraId="2E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2019 году отремонтирована кровля МБОУ «Мунгатская основная общеобразовательная школа».</w:t>
      </w:r>
    </w:p>
    <w:p w14:paraId="2F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2020 году проведен частичный ремонт кровли МБОУ «Красноключинская основная общеобразовательная школа».</w:t>
      </w:r>
    </w:p>
    <w:p w14:paraId="30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2020 году отремонтирована кровля МБОУ «Тарадановская основная общеобразовательная школа».</w:t>
      </w:r>
    </w:p>
    <w:p w14:paraId="31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2020 году в Банновской школе заменили 62 оконных блока за счет спонсорской помощи от компании «СДС».</w:t>
      </w:r>
    </w:p>
    <w:p w14:paraId="32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2021 году в Перехляйской школе заменили 66 окон в рамках инициативного бюджетирования.</w:t>
      </w:r>
    </w:p>
    <w:p w14:paraId="33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2021 году капитально отремонтирована Борисовская школа.</w:t>
      </w:r>
    </w:p>
    <w:p w14:paraId="34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2021 году проведено проектирование здания Крапивинской начальной школы.</w:t>
      </w:r>
    </w:p>
    <w:p w14:paraId="35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2022 году отремонтирована кровля в МБОУ «Банновская основная общеобразовательная школа».</w:t>
      </w:r>
    </w:p>
    <w:p w14:paraId="36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2024 году начато строительство нового детского сада в п. Перехляй, ввод в эксплуатацию которого планируется в 2027 году.</w:t>
      </w:r>
    </w:p>
    <w:p w14:paraId="37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2024 году отремонтировано помещение, ранее занимаемое врачебной амбулаторией в селе Борисово проведены работы по устройству пищеблока для Борисовского детского сада: монтаж наружной канализации, ремонт отопления, устройство внутренней канализации и водопровода, монтаж системы вентиляции, кондиционирования, электромонтажные работы, ремонт кровли, общестроительные ремонтные работы. Приобретено и установлено новое оборудование.</w:t>
      </w:r>
    </w:p>
    <w:p w14:paraId="38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2025 году в Перехляйской школе проведены: инженерно-техническое обследование здания и инженерно-геологические изыскания, необходимые для разработки ПСД капитального ремонта школы.</w:t>
      </w:r>
    </w:p>
    <w:p w14:paraId="39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Благодаря региональному проекту «Современная школа» с 2019 года в округе открылось 10 центров цифрового и гуманитарного профилей «Точка роста», где более 2000 детей занимаются урочной и внеурочной деятельностью </w:t>
      </w:r>
      <w:r>
        <w:rPr>
          <w:rFonts w:ascii="Times New Roman" w:hAnsi="Times New Roman"/>
          <w:i w:val="1"/>
          <w:color w:val="000000"/>
          <w:sz w:val="28"/>
        </w:rPr>
        <w:t>(2019: Шевелевская и Борисовская, 2020: Зеленовская, Мунгатская и Перехляйская, 2021: Зеленогорская, Крапивинская, Красноключинская, Тарадановская и Барачатская).</w:t>
      </w:r>
    </w:p>
    <w:p w14:paraId="3A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Семь школ </w:t>
      </w:r>
      <w:r>
        <w:rPr>
          <w:rFonts w:ascii="Times New Roman" w:hAnsi="Times New Roman"/>
          <w:i w:val="1"/>
          <w:color w:val="000000"/>
          <w:sz w:val="28"/>
        </w:rPr>
        <w:t>(Банновская, Крапивинская, Зеленогорская, Шевелевская, Борисовская, Зеленовская и Перехляйская школы)</w:t>
      </w:r>
      <w:r>
        <w:rPr>
          <w:rFonts w:ascii="Times New Roman" w:hAnsi="Times New Roman"/>
          <w:color w:val="000000"/>
          <w:sz w:val="28"/>
        </w:rPr>
        <w:t xml:space="preserve"> приняли участие в национальном проекте «Цифровая образовательная среда». Получено современное, высокотехнологичное цифровое оборудование: ноутбуки, интерактивные панели, мобильные стойки, камеры видеонаблюдения и компьютерные мыши.</w:t>
      </w:r>
    </w:p>
    <w:p w14:paraId="3B010000">
      <w:pPr>
        <w:widowControl w:val="1"/>
        <w:spacing w:after="0" w:line="276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Участие в региональном проекте «Успех каждого ребенка» позволило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за 7 лет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открыть новые направления в Крапивинском доме детского творчества: </w:t>
      </w:r>
    </w:p>
    <w:p w14:paraId="3C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«Аэромоделирование» для 90 детей, </w:t>
      </w:r>
    </w:p>
    <w:p w14:paraId="3D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«3D моделирование» для 60 обучающихся,</w:t>
      </w:r>
    </w:p>
    <w:p w14:paraId="3E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i w:val="1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«Школа туризма»</w:t>
      </w:r>
      <w:r>
        <w:rPr>
          <w:rFonts w:ascii="Calibri" w:hAnsi="Calibri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в Борисовской школе для 90 обучающихся, </w:t>
      </w:r>
    </w:p>
    <w:p w14:paraId="3F010000">
      <w:pPr>
        <w:widowControl w:val="1"/>
        <w:spacing w:after="0" w:line="276" w:lineRule="auto"/>
        <w:ind w:firstLine="708"/>
        <w:jc w:val="both"/>
        <w:rPr>
          <w:rFonts w:ascii="Times New Roman" w:hAnsi="Times New Roman"/>
          <w:i w:val="1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 развитие инженерного мышления детей до 7-ми лет на 30 мест </w:t>
      </w:r>
      <w:r>
        <w:rPr>
          <w:rFonts w:ascii="Times New Roman" w:hAnsi="Times New Roman"/>
          <w:i w:val="1"/>
          <w:color w:val="000000"/>
          <w:sz w:val="28"/>
        </w:rPr>
        <w:t>(пгт. Зеленогорский),</w:t>
      </w:r>
    </w:p>
    <w:p w14:paraId="40010000">
      <w:pPr>
        <w:widowControl w:val="1"/>
        <w:spacing w:after="0" w:line="276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мультипликационные теле и новостные студии на 60 мест, </w:t>
      </w:r>
    </w:p>
    <w:p w14:paraId="41010000">
      <w:pPr>
        <w:widowControl w:val="1"/>
        <w:spacing w:after="0" w:line="276" w:lineRule="auto"/>
        <w:ind w:firstLine="708"/>
        <w:jc w:val="both"/>
        <w:rPr>
          <w:rFonts w:ascii="Times New Roman" w:hAnsi="Times New Roman"/>
          <w:i w:val="1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туристко - краеведческая направленность, 60 мест </w:t>
      </w:r>
      <w:r>
        <w:rPr>
          <w:rFonts w:ascii="Times New Roman" w:hAnsi="Times New Roman"/>
          <w:i w:val="1"/>
          <w:color w:val="000000"/>
          <w:sz w:val="28"/>
        </w:rPr>
        <w:t>(пгт. Крапивинский)</w:t>
      </w:r>
      <w:r>
        <w:rPr>
          <w:rFonts w:ascii="Times New Roman" w:hAnsi="Times New Roman"/>
          <w:color w:val="000000"/>
          <w:sz w:val="28"/>
        </w:rPr>
        <w:t xml:space="preserve">. </w:t>
      </w:r>
    </w:p>
    <w:p w14:paraId="42010000">
      <w:pPr>
        <w:widowControl w:val="1"/>
        <w:spacing w:after="0" w:line="276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Региональный проект «Патриотическое воспитание» в 2023 году позволил открыть кадетский класс на базе Борисовской школы и приобрести форму для учащихся кадетского класса. </w:t>
      </w:r>
    </w:p>
    <w:p w14:paraId="43010000">
      <w:pPr>
        <w:widowControl w:val="1"/>
        <w:spacing w:after="0" w:line="276" w:lineRule="auto"/>
        <w:ind w:firstLine="708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Обеспечение нового качества общего образования</w:t>
      </w:r>
    </w:p>
    <w:p w14:paraId="44010000">
      <w:pPr>
        <w:widowControl w:val="1"/>
        <w:spacing w:after="0" w:line="276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Переход на ФГОС основного общего образования и ФГОС среднего общего образования - 100%.</w:t>
      </w:r>
    </w:p>
    <w:p w14:paraId="45010000">
      <w:pPr>
        <w:widowControl w:val="1"/>
        <w:spacing w:after="0" w:line="276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Переход на ФГОС дошкольного образования - 100%.</w:t>
      </w:r>
    </w:p>
    <w:p w14:paraId="46010000">
      <w:pPr>
        <w:widowControl w:val="1"/>
        <w:spacing w:after="0" w:line="276" w:lineRule="auto"/>
        <w:ind w:firstLine="708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Дальнейшее развитие системы дополнительного образования</w:t>
      </w:r>
    </w:p>
    <w:p w14:paraId="47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Охват детей услугами дополнительного образования на 1 января 2025 года составил 94,9%.</w:t>
      </w:r>
    </w:p>
    <w:p w14:paraId="48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На территории округа функционируют 12 отрядов Юнармии и военно- патриотический клуб «Медведь». </w:t>
      </w:r>
    </w:p>
    <w:p w14:paraId="49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Борисовской школе на 01.01.2025 года функционируют 3 кадетских класса.</w:t>
      </w:r>
    </w:p>
    <w:p w14:paraId="4A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2024 году Домом детского творчества получен Президентский грант, который направлен на открытие выездной школа «Азбука пилотирования», целью которой является</w:t>
      </w:r>
      <w:r>
        <w:rPr>
          <w:rFonts w:ascii="Times New Roman" w:hAnsi="Times New Roman"/>
          <w:color w:val="000000"/>
          <w:sz w:val="28"/>
        </w:rPr>
        <w:t xml:space="preserve"> повышение уровня знаний о БПЛА и приобретению навыков пилотирования у 500 школьни</w:t>
      </w:r>
      <w:r>
        <w:rPr>
          <w:rFonts w:ascii="Times New Roman" w:hAnsi="Times New Roman"/>
          <w:color w:val="000000"/>
          <w:sz w:val="28"/>
        </w:rPr>
        <w:t>ков, возрастом от 11 до 14 лет, проживающих в сельской местности Крапивинского муниципального округа.</w:t>
      </w:r>
    </w:p>
    <w:p w14:paraId="4B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Развитие здоровьесберегающих технологий</w:t>
      </w:r>
    </w:p>
    <w:p w14:paraId="4C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Охват детей горячим питанием в общеобразовательных организациях на 01.01.2025 года составляет 99,2%.</w:t>
      </w:r>
    </w:p>
    <w:p w14:paraId="4D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2019 году установлены две спортивные площадки в д. Шевели и с. Барачаты в рамках программы «Дни Москвы в Кузбассе».        </w:t>
      </w:r>
    </w:p>
    <w:p w14:paraId="4E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2020 году установлена площадка ГТО в пгт. Крапивинский в рамках регионального проекта «Спорт-норма жизни».         </w:t>
      </w:r>
    </w:p>
    <w:p w14:paraId="4F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рамках Государственной программы Кемеровской области-Кузбасса «Молодежь, спорт и туризм Кузбасса» в 2020 году в пгт. Зеленогорский установлена спортивная площадка.      </w:t>
      </w:r>
    </w:p>
    <w:p w14:paraId="50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По программе "твой Кузбасс - твоя инициатива":   </w:t>
      </w:r>
    </w:p>
    <w:p w14:paraId="51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благоустроили две спортивные площадки: в с. Борисово и п. Каменный;</w:t>
      </w:r>
    </w:p>
    <w:p w14:paraId="52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благоустроили две хоккейные коробки в поселках: Зеленогорский </w:t>
      </w:r>
      <w:r>
        <w:rPr>
          <w:rFonts w:ascii="Times New Roman" w:hAnsi="Times New Roman"/>
          <w:i w:val="1"/>
          <w:color w:val="000000"/>
          <w:sz w:val="28"/>
        </w:rPr>
        <w:t>(2022 год)</w:t>
      </w:r>
      <w:r>
        <w:rPr>
          <w:rFonts w:ascii="Times New Roman" w:hAnsi="Times New Roman"/>
          <w:color w:val="000000"/>
          <w:sz w:val="28"/>
        </w:rPr>
        <w:t xml:space="preserve"> и Крапивинский </w:t>
      </w:r>
      <w:r>
        <w:rPr>
          <w:rFonts w:ascii="Times New Roman" w:hAnsi="Times New Roman"/>
          <w:i w:val="1"/>
          <w:color w:val="000000"/>
          <w:sz w:val="28"/>
        </w:rPr>
        <w:t>(2023 год)</w:t>
      </w:r>
      <w:r>
        <w:rPr>
          <w:rFonts w:ascii="Times New Roman" w:hAnsi="Times New Roman"/>
          <w:color w:val="000000"/>
          <w:sz w:val="28"/>
        </w:rPr>
        <w:t xml:space="preserve">; </w:t>
      </w:r>
    </w:p>
    <w:p w14:paraId="53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установлены две скейт - площадки в поселках Зеленогорский </w:t>
      </w:r>
      <w:r>
        <w:rPr>
          <w:rFonts w:ascii="Times New Roman" w:hAnsi="Times New Roman"/>
          <w:i w:val="1"/>
          <w:color w:val="000000"/>
          <w:sz w:val="28"/>
        </w:rPr>
        <w:t>(2021 год)</w:t>
      </w:r>
      <w:r>
        <w:rPr>
          <w:rFonts w:ascii="Times New Roman" w:hAnsi="Times New Roman"/>
          <w:color w:val="000000"/>
          <w:sz w:val="28"/>
        </w:rPr>
        <w:t xml:space="preserve"> и Крапивинский </w:t>
      </w:r>
      <w:r>
        <w:rPr>
          <w:rFonts w:ascii="Times New Roman" w:hAnsi="Times New Roman"/>
          <w:i w:val="1"/>
          <w:color w:val="000000"/>
          <w:sz w:val="28"/>
        </w:rPr>
        <w:t>(2024 год)</w:t>
      </w:r>
      <w:r>
        <w:rPr>
          <w:rFonts w:ascii="Times New Roman" w:hAnsi="Times New Roman"/>
          <w:color w:val="000000"/>
          <w:sz w:val="28"/>
        </w:rPr>
        <w:t xml:space="preserve">; </w:t>
      </w:r>
    </w:p>
    <w:p w14:paraId="54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в 2024 году в пгт. Зеленогорский благоустроили спортивную площадку </w:t>
      </w:r>
      <w:r>
        <w:rPr>
          <w:rFonts w:ascii="Times New Roman" w:hAnsi="Times New Roman"/>
          <w:i w:val="1"/>
          <w:color w:val="000000"/>
          <w:sz w:val="28"/>
        </w:rPr>
        <w:t>(стадион)</w:t>
      </w:r>
      <w:r>
        <w:rPr>
          <w:rFonts w:ascii="Times New Roman" w:hAnsi="Times New Roman"/>
          <w:color w:val="000000"/>
          <w:sz w:val="28"/>
        </w:rPr>
        <w:t xml:space="preserve">. </w:t>
      </w:r>
    </w:p>
    <w:p w14:paraId="55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2022 - 2024 годах отремонтированы здания спортивной школы в поселках Зеленогорский и Крапивинский.    </w:t>
      </w:r>
    </w:p>
    <w:p w14:paraId="56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Благодаря АО «Стройсервис» в 2022 году на территории Тарадановской школы появилась спортивная площадка.</w:t>
      </w:r>
    </w:p>
    <w:p w14:paraId="57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Организация отдыха детей</w:t>
      </w:r>
    </w:p>
    <w:p w14:paraId="58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Охват обучающихся организованными формами труда и отдыха - 32,9% от общего количества обучающихся.</w:t>
      </w:r>
    </w:p>
    <w:p w14:paraId="59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Охват обучающихся организованными формами труда и отдыха - 4,6%</w:t>
      </w:r>
      <w:r>
        <w:rPr>
          <w:rFonts w:ascii="Calibri" w:hAnsi="Calibri"/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от общего количества обучающихся.</w:t>
      </w:r>
    </w:p>
    <w:p w14:paraId="5A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Организация отдыха школьников - 16,5%.</w:t>
      </w:r>
    </w:p>
    <w:p w14:paraId="5B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Обновление состава педагогических кадров</w:t>
      </w:r>
    </w:p>
    <w:p w14:paraId="5C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 2018 года привлечено 28 человек с педагогическим образованием в общеобразовательные учреждения </w:t>
      </w:r>
      <w:r>
        <w:rPr>
          <w:rFonts w:ascii="Times New Roman" w:hAnsi="Times New Roman"/>
          <w:i w:val="1"/>
          <w:color w:val="000000"/>
          <w:sz w:val="28"/>
        </w:rPr>
        <w:t>(16,9%)</w:t>
      </w:r>
      <w:r>
        <w:rPr>
          <w:rFonts w:ascii="Times New Roman" w:hAnsi="Times New Roman"/>
          <w:color w:val="000000"/>
          <w:sz w:val="28"/>
        </w:rPr>
        <w:t>.</w:t>
      </w:r>
    </w:p>
    <w:p w14:paraId="5D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Совершенствование системы профессионального образования</w:t>
      </w:r>
    </w:p>
    <w:p w14:paraId="5E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Один раз в три года педагоги проходят курсы повышения квалификации - 100%.</w:t>
      </w:r>
    </w:p>
    <w:p w14:paraId="5F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Цель: Обеспечение населения доступной и качественной медицинской помощью</w:t>
      </w:r>
    </w:p>
    <w:p w14:paraId="60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Сохранение и укрепление кадрового потенциала</w:t>
      </w:r>
    </w:p>
    <w:p w14:paraId="61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 2018 по 2024 годы в Крапивинскую районную больницу прибыло работать: </w:t>
      </w:r>
    </w:p>
    <w:p w14:paraId="62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по программе «Земский доктор» 19 человек; </w:t>
      </w:r>
    </w:p>
    <w:p w14:paraId="63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по программе «Земский фельдшер» 26 человек.</w:t>
      </w:r>
    </w:p>
    <w:p w14:paraId="64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Совершенствование материально – технического уровня учреждений здравоохранения</w:t>
      </w:r>
    </w:p>
    <w:p w14:paraId="65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рамках национального проекта «Здравоохранения» за 7 лет в Крапивинскую районную больницу поступило: </w:t>
      </w:r>
    </w:p>
    <w:p w14:paraId="66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- 18 легковых автомобилей, из которых 6 – автомобили СМП;</w:t>
      </w:r>
    </w:p>
    <w:p w14:paraId="67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маммограф рентгеновский;</w:t>
      </w:r>
    </w:p>
    <w:p w14:paraId="68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комплекс рентгеновский диагностический стационарный;</w:t>
      </w:r>
    </w:p>
    <w:p w14:paraId="69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флюорограф передвижной;</w:t>
      </w:r>
    </w:p>
    <w:p w14:paraId="6A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прочее медицинское оборудование - 105 единиц. </w:t>
      </w:r>
    </w:p>
    <w:p w14:paraId="6B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2022 году введена в эксплуатацию вертолетная площадка «Зеленогорская».</w:t>
      </w:r>
    </w:p>
    <w:p w14:paraId="6C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Ежегодно во всех помещениях больницы, в том числе и стационара выполняется текущий ремонт: покраска стен, побелка потолков, замена снитарно - технического оборудования и т.д.</w:t>
      </w:r>
    </w:p>
    <w:p w14:paraId="6D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С 2014 года открыто 6 ФАПов </w:t>
      </w:r>
      <w:r>
        <w:rPr>
          <w:rFonts w:ascii="Times New Roman" w:hAnsi="Times New Roman"/>
          <w:i w:val="1"/>
          <w:color w:val="000000"/>
          <w:sz w:val="28"/>
        </w:rPr>
        <w:t>(Банново, Перехляй, Зеленовский, Каменный, Красный Ключ, Каменский)</w:t>
      </w:r>
      <w:r>
        <w:rPr>
          <w:rFonts w:ascii="Times New Roman" w:hAnsi="Times New Roman"/>
          <w:color w:val="000000"/>
          <w:sz w:val="28"/>
        </w:rPr>
        <w:t xml:space="preserve"> и 3 ВА </w:t>
      </w:r>
      <w:r>
        <w:rPr>
          <w:rFonts w:ascii="Times New Roman" w:hAnsi="Times New Roman"/>
          <w:i w:val="1"/>
          <w:color w:val="000000"/>
          <w:sz w:val="28"/>
        </w:rPr>
        <w:t>(Тараданово, Барачаты, Борисово)</w:t>
      </w:r>
      <w:r>
        <w:rPr>
          <w:rFonts w:ascii="Times New Roman" w:hAnsi="Times New Roman"/>
          <w:color w:val="000000"/>
          <w:sz w:val="28"/>
        </w:rPr>
        <w:t xml:space="preserve">. </w:t>
      </w:r>
    </w:p>
    <w:p w14:paraId="6E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деревнях: Новобарачаты и Долгополово численность населения менее 100 человек, поэтому строить модульный ФАП не целесообразно, но специалистами больницы регулярно проводится выездная работа.</w:t>
      </w:r>
    </w:p>
    <w:p w14:paraId="6F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</w:p>
    <w:p w14:paraId="70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</w:p>
    <w:p w14:paraId="71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</w:p>
    <w:p w14:paraId="72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 xml:space="preserve">Задача: Развитие профилактического направления    </w:t>
      </w:r>
    </w:p>
    <w:p w14:paraId="73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Повозрастной диспансеризацией и профилактическими осмотрами ежегодно охвачены все лица, подлежащие диспансеризации и профилактическим осмотрам. Выполнение ежегодно - 100 %.</w:t>
      </w:r>
    </w:p>
    <w:p w14:paraId="74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Областные специалисты привлекаются и ведут прием 1 раз в неделю: окулист, эндокринолог. Врач функциональной диагностики и врач - рентгенолог </w:t>
      </w:r>
      <w:r>
        <w:rPr>
          <w:rFonts w:ascii="Times New Roman" w:hAnsi="Times New Roman"/>
          <w:i w:val="1"/>
          <w:color w:val="000000"/>
          <w:sz w:val="28"/>
        </w:rPr>
        <w:t>(г. Кемерово)</w:t>
      </w:r>
      <w:r>
        <w:rPr>
          <w:rFonts w:ascii="Times New Roman" w:hAnsi="Times New Roman"/>
          <w:color w:val="000000"/>
          <w:sz w:val="28"/>
        </w:rPr>
        <w:t xml:space="preserve"> читают снимки ЭКГ и рентген – кабинета. Проводятся телемедицинские консультации с врачами городов Кемерово и Новокузнецк; за семь лет проведено более 150 консультаций.</w:t>
      </w:r>
    </w:p>
    <w:p w14:paraId="75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Снижение показателей смертности населения</w:t>
      </w:r>
    </w:p>
    <w:p w14:paraId="76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Смертность населения в трудоспособном возрасте увеличилась с 299 </w:t>
      </w:r>
      <w:r>
        <w:rPr>
          <w:rFonts w:ascii="Times New Roman" w:hAnsi="Times New Roman"/>
          <w:i w:val="1"/>
          <w:color w:val="000000"/>
          <w:sz w:val="28"/>
        </w:rPr>
        <w:t>(68 человек)</w:t>
      </w:r>
      <w:r>
        <w:rPr>
          <w:rFonts w:ascii="Times New Roman" w:hAnsi="Times New Roman"/>
          <w:color w:val="000000"/>
          <w:sz w:val="28"/>
        </w:rPr>
        <w:t xml:space="preserve"> в 2018 году до 396 </w:t>
      </w:r>
      <w:r>
        <w:rPr>
          <w:rFonts w:ascii="Times New Roman" w:hAnsi="Times New Roman"/>
          <w:i w:val="1"/>
          <w:color w:val="000000"/>
          <w:sz w:val="28"/>
        </w:rPr>
        <w:t>(86 человек)</w:t>
      </w:r>
      <w:r>
        <w:rPr>
          <w:rFonts w:ascii="Times New Roman" w:hAnsi="Times New Roman"/>
          <w:color w:val="000000"/>
          <w:sz w:val="28"/>
        </w:rPr>
        <w:t xml:space="preserve"> в 2024 году на 100 тысяч человек населения. Рост показателя связан с ростом количества смертей, со снижением количества жителей округа, а также миграцией населения. </w:t>
      </w:r>
    </w:p>
    <w:p w14:paraId="77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Смертность от сердечно - сосудистых заболеваний также дала рост с 426,5 </w:t>
      </w:r>
      <w:r>
        <w:rPr>
          <w:rFonts w:ascii="Times New Roman" w:hAnsi="Times New Roman"/>
          <w:i w:val="1"/>
          <w:color w:val="000000"/>
          <w:sz w:val="28"/>
        </w:rPr>
        <w:t>(97 человек)</w:t>
      </w:r>
      <w:r>
        <w:rPr>
          <w:rFonts w:ascii="Times New Roman" w:hAnsi="Times New Roman"/>
          <w:color w:val="000000"/>
          <w:sz w:val="28"/>
        </w:rPr>
        <w:t xml:space="preserve"> в 2018 году до 561,8 </w:t>
      </w:r>
      <w:r>
        <w:rPr>
          <w:rFonts w:ascii="Times New Roman" w:hAnsi="Times New Roman"/>
          <w:i w:val="1"/>
          <w:color w:val="000000"/>
          <w:sz w:val="28"/>
        </w:rPr>
        <w:t>(122 человека)</w:t>
      </w:r>
      <w:r>
        <w:rPr>
          <w:rFonts w:ascii="Times New Roman" w:hAnsi="Times New Roman"/>
          <w:color w:val="000000"/>
          <w:sz w:val="28"/>
        </w:rPr>
        <w:t xml:space="preserve"> в 2024 году на 100 тысяч человек населения. </w:t>
      </w:r>
    </w:p>
    <w:p w14:paraId="78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2018 году были зафиксированы: 1 случай младенческой смертности, 4 случая детской смертности. С 2019 по 2025 годы случаев младенческой и детской смертности не зафиксировано.  </w:t>
      </w:r>
    </w:p>
    <w:p w14:paraId="79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Смертность от дорожно – транспортных происшествий выросла: с 4,4 </w:t>
      </w:r>
      <w:r>
        <w:rPr>
          <w:rFonts w:ascii="Times New Roman" w:hAnsi="Times New Roman"/>
          <w:i w:val="1"/>
          <w:color w:val="000000"/>
          <w:sz w:val="28"/>
        </w:rPr>
        <w:t>(1 человек)</w:t>
      </w:r>
      <w:r>
        <w:rPr>
          <w:rFonts w:ascii="Times New Roman" w:hAnsi="Times New Roman"/>
          <w:color w:val="000000"/>
          <w:sz w:val="28"/>
        </w:rPr>
        <w:t xml:space="preserve"> в 2018 году до 27,6 </w:t>
      </w:r>
      <w:r>
        <w:rPr>
          <w:rFonts w:ascii="Times New Roman" w:hAnsi="Times New Roman"/>
          <w:i w:val="1"/>
          <w:color w:val="000000"/>
          <w:sz w:val="28"/>
        </w:rPr>
        <w:t>(6 человек)</w:t>
      </w:r>
      <w:r>
        <w:rPr>
          <w:rFonts w:ascii="Times New Roman" w:hAnsi="Times New Roman"/>
          <w:color w:val="000000"/>
          <w:sz w:val="28"/>
        </w:rPr>
        <w:t xml:space="preserve"> в 2024 году на 100 тысяч человек населения.</w:t>
      </w:r>
    </w:p>
    <w:p w14:paraId="7A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Смертность от злокачественных новообразований выросла на 49,6%: с 153,9 </w:t>
      </w:r>
      <w:r>
        <w:rPr>
          <w:rFonts w:ascii="Times New Roman" w:hAnsi="Times New Roman"/>
          <w:i w:val="1"/>
          <w:color w:val="000000"/>
          <w:sz w:val="28"/>
        </w:rPr>
        <w:t>(35 человек</w:t>
      </w:r>
      <w:r>
        <w:rPr>
          <w:rFonts w:ascii="Times New Roman" w:hAnsi="Times New Roman"/>
          <w:color w:val="000000"/>
          <w:sz w:val="28"/>
        </w:rPr>
        <w:t xml:space="preserve">) в 2018 году до 230,2 </w:t>
      </w:r>
      <w:r>
        <w:rPr>
          <w:rFonts w:ascii="Times New Roman" w:hAnsi="Times New Roman"/>
          <w:i w:val="1"/>
          <w:color w:val="000000"/>
          <w:sz w:val="28"/>
        </w:rPr>
        <w:t>(50 человек)</w:t>
      </w:r>
      <w:r>
        <w:rPr>
          <w:rFonts w:ascii="Times New Roman" w:hAnsi="Times New Roman"/>
          <w:color w:val="000000"/>
          <w:sz w:val="28"/>
        </w:rPr>
        <w:t xml:space="preserve"> в 2024 году на 100 тысяч человек населения.   </w:t>
      </w:r>
    </w:p>
    <w:p w14:paraId="7B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Смертность от ВИЧ снизилась: с 43,9 </w:t>
      </w:r>
      <w:r>
        <w:rPr>
          <w:rFonts w:ascii="Times New Roman" w:hAnsi="Times New Roman"/>
          <w:i w:val="1"/>
          <w:color w:val="000000"/>
          <w:sz w:val="28"/>
        </w:rPr>
        <w:t>(10 человек)</w:t>
      </w:r>
      <w:r>
        <w:rPr>
          <w:rFonts w:ascii="Times New Roman" w:hAnsi="Times New Roman"/>
          <w:color w:val="000000"/>
          <w:sz w:val="28"/>
        </w:rPr>
        <w:t xml:space="preserve"> в 2018 году до 36,8 </w:t>
      </w:r>
      <w:r>
        <w:rPr>
          <w:rFonts w:ascii="Times New Roman" w:hAnsi="Times New Roman"/>
          <w:i w:val="1"/>
          <w:color w:val="000000"/>
          <w:sz w:val="28"/>
        </w:rPr>
        <w:t>(8 человек)</w:t>
      </w:r>
      <w:r>
        <w:rPr>
          <w:rFonts w:ascii="Times New Roman" w:hAnsi="Times New Roman"/>
          <w:color w:val="000000"/>
          <w:sz w:val="28"/>
        </w:rPr>
        <w:t xml:space="preserve"> в 2024 году на 100 тысяч человек населения. Смертность от туберкулеза тоже уменьшилась: с 13,1 </w:t>
      </w:r>
      <w:r>
        <w:rPr>
          <w:rFonts w:ascii="Times New Roman" w:hAnsi="Times New Roman"/>
          <w:i w:val="1"/>
          <w:color w:val="000000"/>
          <w:sz w:val="28"/>
        </w:rPr>
        <w:t>(7 человек)</w:t>
      </w:r>
      <w:r>
        <w:rPr>
          <w:rFonts w:ascii="Times New Roman" w:hAnsi="Times New Roman"/>
          <w:color w:val="000000"/>
          <w:sz w:val="28"/>
        </w:rPr>
        <w:t xml:space="preserve"> в 2018 году до 4,6 </w:t>
      </w:r>
      <w:r>
        <w:rPr>
          <w:rFonts w:ascii="Times New Roman" w:hAnsi="Times New Roman"/>
          <w:i w:val="1"/>
          <w:color w:val="000000"/>
          <w:sz w:val="28"/>
        </w:rPr>
        <w:t>(1 человек</w:t>
      </w:r>
      <w:r>
        <w:rPr>
          <w:rFonts w:ascii="Times New Roman" w:hAnsi="Times New Roman"/>
          <w:color w:val="000000"/>
          <w:sz w:val="28"/>
        </w:rPr>
        <w:t>) в 2024 году на 100 тысяч человек населения.</w:t>
      </w:r>
    </w:p>
    <w:p w14:paraId="7C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 Цель: Развитие сферы досуга и молодежной политики</w:t>
      </w:r>
    </w:p>
    <w:p w14:paraId="7D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Создание условий для улучшения доступа населения к культурным ценностям, освоение современных форм культурно-досуговой деятельности</w:t>
      </w:r>
    </w:p>
    <w:p w14:paraId="7E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16 библиотеках округа работает стабильный интернет.</w:t>
      </w:r>
    </w:p>
    <w:p w14:paraId="7F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Новым проектом 2022 года стала Кузбасская передвижная планшетная выставка «В. Д. Вучичевич-Сибирский: первый в Кузбассе, единственный в Российской Империи». Выставка создана в целях популяризации наследия русского художника-пейзажиста В. Д. Вучичевича-Сибирского, первого профессионального светского художника, проживавшего на территории Кузбасса:</w:t>
      </w:r>
    </w:p>
    <w:p w14:paraId="80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открыта новая экспозиция;</w:t>
      </w:r>
    </w:p>
    <w:p w14:paraId="81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изготовлено 31 постерная копия картин В. Д. Вучичевича-Сибирского из фондов музеев Сибирского региона;</w:t>
      </w:r>
    </w:p>
    <w:p w14:paraId="82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издано и презентовано 200 экземпляров книги «Хроники рода Вучичевичей»; 100 экземпляров брошюры «Персональные и коллективные выставки, в которых принимал участие В.Д. Вучичевич-Сибирский»; </w:t>
      </w:r>
    </w:p>
    <w:p w14:paraId="83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установлен памятник-комплекс памяти семьи В.Д. Вучичевича-Сибирского;</w:t>
      </w:r>
    </w:p>
    <w:p w14:paraId="84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работает экскурсионный маршрут в Крапивинском муниципальном округе «Мистические истории: ложь и правда таежной заимки».</w:t>
      </w:r>
    </w:p>
    <w:p w14:paraId="85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Выставка «В. Д. Вучичевич-Сибирский: первый в Кузбассе, единственный в Российской Империи» экспонировалась в городах Кузбасса: Кемерово, Прокопьевск, Белово, Ленинск-Кузнецкий, Киселевск.</w:t>
      </w:r>
    </w:p>
    <w:p w14:paraId="86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2022 году в рамках регионального проекта «Культурная среда» национального проекта «Культура» в селе Барачаты открылась модельная библиотека, в 2023 - в деревне Шевели.</w:t>
      </w:r>
    </w:p>
    <w:p w14:paraId="87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Благодаря региональному проекту «Обеспечение качественно нового уровня развития инфраструктуры культуры» в 2023 году был приобретен передвижной многофункциональный культурный центр </w:t>
      </w:r>
      <w:r>
        <w:rPr>
          <w:rFonts w:ascii="Times New Roman" w:hAnsi="Times New Roman"/>
          <w:i w:val="1"/>
          <w:color w:val="000000"/>
          <w:sz w:val="28"/>
        </w:rPr>
        <w:t>(автоклуб)</w:t>
      </w:r>
      <w:r>
        <w:rPr>
          <w:rFonts w:ascii="Times New Roman" w:hAnsi="Times New Roman"/>
          <w:color w:val="000000"/>
          <w:sz w:val="28"/>
        </w:rPr>
        <w:t>, который позволяет выезжать на отдаленные территории с низкой численность населения.</w:t>
      </w:r>
    </w:p>
    <w:p w14:paraId="88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Развитие культурного потенциала округа</w:t>
      </w:r>
    </w:p>
    <w:p w14:paraId="89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Ежегодное проводим региональный фестиваль «Крещенские вечерки»: принимают участие 15 - 18 команд </w:t>
      </w:r>
      <w:r>
        <w:rPr>
          <w:rFonts w:ascii="Times New Roman" w:hAnsi="Times New Roman"/>
          <w:i w:val="1"/>
          <w:color w:val="000000"/>
          <w:sz w:val="28"/>
        </w:rPr>
        <w:t>(Новосибирск, Томск, Барнаул, города Кузбасса)</w:t>
      </w:r>
      <w:r>
        <w:rPr>
          <w:rFonts w:ascii="Times New Roman" w:hAnsi="Times New Roman"/>
          <w:color w:val="000000"/>
          <w:sz w:val="28"/>
        </w:rPr>
        <w:t xml:space="preserve"> – это более 1550 человек. В программе фестиваля: различные мастер-классы, работа фотозон, сувенирных лавок, крещенские обряды и забавы, горячий чай и ароматная выпечка, «Зимние сибирские хороводные гуляния». В рамках фестиваля проводится деловая программа «Духовно-нравственное воспитание молодежи на традиционном русском фольклоре». Завершается фестиваль экскурсией в Этнографический центр традиционной и воинской культуры «Мунгатский острог» на Святой источник Николая Чудотворца с возможностью окунуться в святую крещенскую купель.</w:t>
      </w:r>
    </w:p>
    <w:p w14:paraId="8A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Выявление и поддержка молодых дарований</w:t>
      </w:r>
    </w:p>
    <w:p w14:paraId="8B01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Детские школы искусств играют важную роль в выявлении и поддержке талантливых детей, способствуя развитию их творческих способностей и формированию культурной среды общества. За период 2018-2024 год учащиеся детской школы искусств приняли участие в 272 конкурсах, 559 раз стали лауреатами дипломантами конкурсов Международных, Всероссийских, Региональных и Муниципальных уровней. Ежегодно 100% учащихся участвуют в различных проектах, которые проводит ДШИ: Открытый Региональный художественный конкурс «Мой родной, любимый край», посвященный памяти художника – пейзажиста Владимира Дмитриевича Вучичевича – Сибирского, фестиваль «Музыкальная мозаика», хореографические спектакли: «По следам Маленького Принца» и «Когда была та страшная война», художественные проекты: «Портрет героя», «Победители. Связь времен».</w:t>
      </w:r>
    </w:p>
    <w:p w14:paraId="8C010000">
      <w:pPr>
        <w:widowControl w:val="1"/>
        <w:spacing w:after="0" w:line="276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Библиотеки выступают важными центрами поддержки юных талантов: они не только помогают выявить одаренных детей, но и создают условия для развития их творческих способностей. Особую роль в этом играют творческие конкурсы – в частности, традиционные конкурсы чтецов, которые проводит МБУК «Крапивинская ЦБС». Эти мероприятия дают ребятам возможность проявить себя, отработать навыки выразительного чтения и публичных выступлений, а также глубже погрузиться в мир художественной литературы. Ежегодно учреждение организует конкурсы чтецов. За период с 2018 по 2024 год участниками этих состязаний стали 170 человек.</w:t>
      </w:r>
    </w:p>
    <w:p w14:paraId="8D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Развитие кадрового потенциала, повышение квалификации работников культуры и искусства</w:t>
      </w:r>
    </w:p>
    <w:p w14:paraId="8E010000">
      <w:pPr>
        <w:widowControl w:val="1"/>
        <w:spacing w:after="0" w:line="276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период с 2018 по 2024 годы в МБУ ДО КМО «ДШИ» было принято 20 сотрудников. За период с 2018 по 2024 годы сотрудники детской школы искусств успешно прошли две программы профессиональной переподготовки и повысили свою квалификацию 26 раз посредством курсов повышения квалификации.</w:t>
      </w:r>
    </w:p>
    <w:p w14:paraId="8F010000">
      <w:pPr>
        <w:widowControl w:val="1"/>
        <w:spacing w:after="0" w:line="276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период с 2018 по 2024 годы в МБУК «Крапивинская ЦБС» было принято 9 новых сотрудников, прошли курсы повышение квалификации 31 человек по разным направлениям. В 2025 году 1 сотрудник прошел профессиональную переподготовку в Кемеровском государственном институте культуры. В настоящее время 1 сотрудник продолжает обучение в Кузбасском колледже культуры и искусств имени народного артиста СССР И.Д. Кобзона.</w:t>
      </w:r>
    </w:p>
    <w:p w14:paraId="9001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период с 2018 по 2024 год в муниципальном бюджетном учреждение культуры «Клубная система Крапивинского района» было принято на работу 94 человека, в том числе </w:t>
      </w:r>
      <w:r>
        <w:rPr>
          <w:rFonts w:ascii="Times New Roman" w:hAnsi="Times New Roman"/>
          <w:i w:val="1"/>
          <w:sz w:val="28"/>
        </w:rPr>
        <w:t>(2018 год - 17 человек, 2019 год – 12 человек, 2020 год – 8 человек, 2021 год – 6 человек, 2022 год – 19 человек, 2023 год – 19 человек, 2024 год – 13 человек</w:t>
      </w:r>
      <w:r>
        <w:rPr>
          <w:rFonts w:ascii="Times New Roman" w:hAnsi="Times New Roman"/>
          <w:sz w:val="28"/>
        </w:rPr>
        <w:t>).</w:t>
      </w:r>
    </w:p>
    <w:p w14:paraId="9101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Сотрудники клубной системы округа успешно повышают квалификацию. В период с 2018 по 2024 годы повысили сою квалификацию 48 человек </w:t>
      </w:r>
      <w:r>
        <w:rPr>
          <w:rFonts w:ascii="Times New Roman" w:hAnsi="Times New Roman"/>
          <w:i w:val="1"/>
          <w:sz w:val="28"/>
        </w:rPr>
        <w:t>(2018 год – 0 человек, 2019 - 3 человека, 2020 год – 10 человек, 2021 год – 4 человека, 2022 год – 19 человек, 2023 год -3 человека, 2024 год – 6 человек)</w:t>
      </w:r>
      <w:r>
        <w:rPr>
          <w:rFonts w:ascii="Times New Roman" w:hAnsi="Times New Roman"/>
          <w:sz w:val="28"/>
        </w:rPr>
        <w:t xml:space="preserve">.  </w:t>
      </w:r>
    </w:p>
    <w:p w14:paraId="9201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период с 2018 по 2024 годы сотрудники музея успешно прошли семь программ профессиональной переподготовки и повысили свою квалификацию 5 раз посредством курсов повышения квалификации. В 2021 году принято 4 сотрудника в 2023 - 1 сотрудник, в 2024 - 2 сотрудника.</w:t>
      </w:r>
    </w:p>
    <w:p w14:paraId="9301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период с 2018 по 2024 годы в МБУК «МКДЦ «Лидер» было принято 25 человек, прошли курсы повышения квалификации 18 человек.</w:t>
      </w:r>
    </w:p>
    <w:p w14:paraId="94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Создание оптимальных условий функционирования и развития учреждений культуры</w:t>
      </w:r>
    </w:p>
    <w:p w14:paraId="95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2020 году в рамках реализации национального проекта «Культура» школа искусств оснастила образовательные учреждения </w:t>
      </w:r>
      <w:r>
        <w:rPr>
          <w:rFonts w:ascii="Times New Roman" w:hAnsi="Times New Roman"/>
          <w:i w:val="1"/>
          <w:color w:val="000000"/>
          <w:sz w:val="28"/>
        </w:rPr>
        <w:t>(поселки Зеленогорский и Крапивинский, село Барачаты)</w:t>
      </w:r>
      <w:r>
        <w:rPr>
          <w:rFonts w:ascii="Times New Roman" w:hAnsi="Times New Roman"/>
          <w:color w:val="000000"/>
          <w:sz w:val="28"/>
        </w:rPr>
        <w:t xml:space="preserve"> в сфере культуры музыкальными инструментами, оборудованием и учебными материалами. Также в школу искусств приобретены новые парты, стулья, жалюзи.</w:t>
      </w:r>
    </w:p>
    <w:p w14:paraId="96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Открыты два 3D кинозала: в Районном Доме культуры на 240 мест </w:t>
      </w:r>
      <w:r>
        <w:rPr>
          <w:rFonts w:ascii="Times New Roman" w:hAnsi="Times New Roman"/>
          <w:i w:val="1"/>
          <w:color w:val="000000"/>
          <w:sz w:val="28"/>
        </w:rPr>
        <w:t>(2018 год)</w:t>
      </w:r>
      <w:r>
        <w:rPr>
          <w:rFonts w:ascii="Times New Roman" w:hAnsi="Times New Roman"/>
          <w:color w:val="000000"/>
          <w:sz w:val="28"/>
        </w:rPr>
        <w:t xml:space="preserve"> и Зеленовском СДК на 150 мест </w:t>
      </w:r>
      <w:r>
        <w:rPr>
          <w:rFonts w:ascii="Times New Roman" w:hAnsi="Times New Roman"/>
          <w:i w:val="1"/>
          <w:color w:val="000000"/>
          <w:sz w:val="28"/>
        </w:rPr>
        <w:t>(2019 год)</w:t>
      </w:r>
      <w:r>
        <w:rPr>
          <w:rFonts w:ascii="Times New Roman" w:hAnsi="Times New Roman"/>
          <w:color w:val="000000"/>
          <w:sz w:val="28"/>
        </w:rPr>
        <w:t xml:space="preserve">. </w:t>
      </w:r>
    </w:p>
    <w:p w14:paraId="97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рамках федерального проекта «Культура малой Родины» 3 СДК: Борисовский на 180 мест </w:t>
      </w:r>
      <w:r>
        <w:rPr>
          <w:rFonts w:ascii="Times New Roman" w:hAnsi="Times New Roman"/>
          <w:i w:val="1"/>
          <w:color w:val="000000"/>
          <w:sz w:val="28"/>
        </w:rPr>
        <w:t>(2018 год)</w:t>
      </w:r>
      <w:r>
        <w:rPr>
          <w:rFonts w:ascii="Times New Roman" w:hAnsi="Times New Roman"/>
          <w:color w:val="000000"/>
          <w:sz w:val="28"/>
        </w:rPr>
        <w:t xml:space="preserve">, Тарадановский на 150 мест </w:t>
      </w:r>
      <w:r>
        <w:rPr>
          <w:rFonts w:ascii="Times New Roman" w:hAnsi="Times New Roman"/>
          <w:i w:val="1"/>
          <w:color w:val="000000"/>
          <w:sz w:val="28"/>
        </w:rPr>
        <w:t>(2019 год)</w:t>
      </w:r>
      <w:r>
        <w:rPr>
          <w:rFonts w:ascii="Times New Roman" w:hAnsi="Times New Roman"/>
          <w:color w:val="000000"/>
          <w:sz w:val="28"/>
        </w:rPr>
        <w:t xml:space="preserve"> и Зеленовский на 150 мест </w:t>
      </w:r>
      <w:r>
        <w:rPr>
          <w:rFonts w:ascii="Times New Roman" w:hAnsi="Times New Roman"/>
          <w:i w:val="1"/>
          <w:color w:val="000000"/>
          <w:sz w:val="28"/>
        </w:rPr>
        <w:t>(2020 год)</w:t>
      </w:r>
      <w:r>
        <w:rPr>
          <w:rFonts w:ascii="Times New Roman" w:hAnsi="Times New Roman"/>
          <w:color w:val="000000"/>
          <w:sz w:val="28"/>
        </w:rPr>
        <w:t xml:space="preserve"> обновили материально-техническую базу. За счет муниципальной программы Крапивинского муниципального округа «Модернизация объектов социальной сферы и жилого фонда Крапивинского муниципального округа» были отремонтированы внутренние помещения, зрительный зал, фойе данных СДК.</w:t>
      </w:r>
    </w:p>
    <w:p w14:paraId="98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2023 – 2024 годах Перехляйский СДК был полностью отремонтирован</w:t>
      </w:r>
      <w:r>
        <w:rPr>
          <w:rFonts w:ascii="Calibri" w:hAnsi="Calibri"/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за счет муниципальной программы Крапивинского муниципального округа </w:t>
      </w:r>
      <w:r>
        <w:rPr>
          <w:rFonts w:ascii="Times New Roman" w:hAnsi="Times New Roman"/>
          <w:color w:val="000000"/>
          <w:sz w:val="28"/>
        </w:rPr>
        <w:t>«Модернизация объектов социальной сферы и жилого фонда Крапивинского муниципального округа» и программы «Твой Кузбасс — твоя инициатива», обновлена материально – техническая база</w:t>
      </w:r>
      <w:r>
        <w:rPr>
          <w:rFonts w:ascii="Calibri" w:hAnsi="Calibri"/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в рамках проекта «Культура малой родины»: приобретено и установлено новое современное световое и звуковое оборудование, механика и одежда сцены, комфортные кресла в зрительный зал.</w:t>
      </w:r>
    </w:p>
    <w:p w14:paraId="99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Количество пользователей библиотеками выросло на 2%: с 16470 человек в 2018 году до 16821 человек в 2024 году.</w:t>
      </w:r>
    </w:p>
    <w:p w14:paraId="9A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Дом культуры на 200 мест в пгт. Зеленогорский не построен, но в 2025 году управление культуры, молодежной политики, спорта и туризма, Лидер, библиотека переехали в новое здание в пгт. Зеленогорский </w:t>
      </w:r>
      <w:r>
        <w:rPr>
          <w:rFonts w:ascii="Times New Roman" w:hAnsi="Times New Roman"/>
          <w:i w:val="1"/>
          <w:color w:val="000000"/>
          <w:sz w:val="28"/>
        </w:rPr>
        <w:t>(здание бывшего Дома ребенка)</w:t>
      </w:r>
      <w:r>
        <w:rPr>
          <w:rFonts w:ascii="Times New Roman" w:hAnsi="Times New Roman"/>
          <w:color w:val="000000"/>
          <w:sz w:val="28"/>
        </w:rPr>
        <w:t>.</w:t>
      </w:r>
    </w:p>
    <w:p w14:paraId="9B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Содействие социальному, культурному, духовному и физическому развитию молодежи</w:t>
      </w:r>
    </w:p>
    <w:p w14:paraId="9C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 территории Крапивинского округа осуществляют свою деятельность: военно-патриотический клуб «Медведь». Ежегодно совместно с военно-патриотическим центром «Вымпел-Кузбасс» и клубом исторической реконструкции «Тайдон» на территории Крапивинского муниципального округа проводятся оборонно-спортивные сборы для обучающихся военно-патриотических клубов Кузбасса.</w:t>
      </w:r>
    </w:p>
    <w:p w14:paraId="9D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 2023 года на базе Борисовской школы функционируют три кадетских класса </w:t>
      </w:r>
      <w:r>
        <w:rPr>
          <w:rFonts w:ascii="Times New Roman" w:hAnsi="Times New Roman"/>
          <w:i w:val="1"/>
          <w:color w:val="000000"/>
          <w:sz w:val="28"/>
        </w:rPr>
        <w:t>(2-МЧС, 1-полиция)</w:t>
      </w:r>
      <w:r>
        <w:rPr>
          <w:rFonts w:ascii="Times New Roman" w:hAnsi="Times New Roman"/>
          <w:color w:val="000000"/>
          <w:sz w:val="28"/>
        </w:rPr>
        <w:t xml:space="preserve">. </w:t>
      </w:r>
    </w:p>
    <w:p w14:paraId="9E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 региональному проекту «Патриотическое воспитание» с 2024 года все школы вступили в федеральный проект «Навигаторы детства» Росдетцентра. Советники директора по воспитанию и взаимодействию с детскими общественными объединениями реализуют план: «Я – Кузбассовец», взаимодействуют с другими молодежными проектами: РДДМ Движение Первых, ЮнАрмия, Орлята России, Волонтеры, где главной задачей является патриотическое воспитание у детей и молодежи.</w:t>
      </w:r>
    </w:p>
    <w:p w14:paraId="9F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Реализация общественно значимых инициатив, общественно полезной деятельности молодежи, молодежных объединений</w:t>
      </w:r>
    </w:p>
    <w:p w14:paraId="A0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Работа добровольческого движения среди молодежи проводится регулярно. С каждым годом увеличивается численность молодёжи, вовлечённой в данное направление. На конец 2024 года добровольческий штаб МЦ насчитывает более 600 добровольцев. Всего на территории Крапивинского муниципального округа 15 волонтерских отрядов.                                                   Помощь волонтеров имеет неоценимый вклад в развитие округа:</w:t>
      </w:r>
    </w:p>
    <w:p w14:paraId="A1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 оказание адресной помощи;  </w:t>
      </w:r>
    </w:p>
    <w:p w14:paraId="A2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участие в сборе гуманитарной помощи; </w:t>
      </w:r>
    </w:p>
    <w:p w14:paraId="A3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помощь в проведении акции "Бессмертный полк";</w:t>
      </w:r>
    </w:p>
    <w:p w14:paraId="A4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помощь в сборе металлолома; </w:t>
      </w:r>
    </w:p>
    <w:p w14:paraId="A5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проведение экологических акций и флэшмобов.</w:t>
      </w:r>
    </w:p>
    <w:p w14:paraId="A6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Цель: Развитие физической культуры и спорта</w:t>
      </w:r>
    </w:p>
    <w:p w14:paraId="A7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Увеличение численности населения, систематически занимающегося физкультурой и спортом</w:t>
      </w:r>
    </w:p>
    <w:p w14:paraId="A8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Доля населения, систематически занимающегося спортом выросла на 47 процентов: с 43,4 в 2018 году до 63,9 в 2024 году.</w:t>
      </w:r>
    </w:p>
    <w:p w14:paraId="A9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Доля обучающихся, систематически занимающихся физической культурой и спортом, в общей численности обучающихся выросла на 12,8 процентов: с 72,8 в 2018 году до 82,1 в 2024 году.</w:t>
      </w:r>
    </w:p>
    <w:p w14:paraId="AA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Спортивные мероприятия местного и регионального уровня в округе проводятся ежегодно. Яркие примеры: </w:t>
      </w:r>
    </w:p>
    <w:p w14:paraId="AB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первенство Кузбасса по лыжным гонкам на призы Главы Крапивинского муниципального округа;</w:t>
      </w:r>
    </w:p>
    <w:p w14:paraId="AC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Всероссийская массовая лыжная гонка «Лыжня России» в Крапивинском округе;</w:t>
      </w:r>
    </w:p>
    <w:p w14:paraId="AD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открытые муниципальные соревнования по боксу среди юношей на кубок главы Крапивинского муниципального округа и призы Интерконтинентального Чемпиона WBО, WBA, чемпиона Европы WBO Вячеслава Гусева;</w:t>
      </w:r>
    </w:p>
    <w:p w14:paraId="AE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Чемпионат и Первенство Кузбасса по мотоциклетному спорту;</w:t>
      </w:r>
    </w:p>
    <w:p w14:paraId="AF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первенство Кузбасса по лыжным гонкам на призы главы Крапивинского муниципального округа (лыжероллеры);</w:t>
      </w:r>
    </w:p>
    <w:p w14:paraId="B0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Всероссийский день бега «Кросс нации» в Крапивинском муниципальном округе;</w:t>
      </w:r>
    </w:p>
    <w:p w14:paraId="B1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региональные соревнования по гиревому спорту памяти тренера-преподавателя А.С. Булдакова среди мужчин и женщин, юношей и девушек.   </w:t>
      </w:r>
    </w:p>
    <w:p w14:paraId="B2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i w:val="1"/>
          <w:color w:val="000000"/>
          <w:sz w:val="28"/>
        </w:rPr>
        <w:t>Задача: Укрепление кадрового обеспечения и повышение профессионального уровня тренерско-преподавательского состава</w:t>
      </w:r>
    </w:p>
    <w:p w14:paraId="B301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В МБУ ДО «Спортивная школа Крапивинского муниципального округа» работает 15 тренеров-преподавателей, из них за период 2018-2024 гг. повышение квалификации прошли 9 человек, переподготовку – 6 человек.</w:t>
      </w:r>
    </w:p>
    <w:p w14:paraId="B4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Укрепление материально-технической базы спортивных объектов</w:t>
      </w:r>
    </w:p>
    <w:p w14:paraId="B5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Благодаря региональному проекту «Спорт – это норма жизни» национального проекта «Демография» в 2019 году приобретен автомобиль для спортивной школы.     </w:t>
      </w:r>
    </w:p>
    <w:p w14:paraId="B6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i w:val="1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2021 году отделения МБУ «СШ КМО» были оснащены спортивным инвентарем </w:t>
      </w:r>
      <w:r>
        <w:rPr>
          <w:rFonts w:ascii="Times New Roman" w:hAnsi="Times New Roman"/>
          <w:i w:val="1"/>
          <w:color w:val="000000"/>
          <w:sz w:val="28"/>
        </w:rPr>
        <w:t>(мячи футбольные, гири соревновательные, пояса, комплекты лыжного инвентаря, пневматическая газобаллонная винтовка БИ 7,5 (зарядное устройство, переходник, пульки), сетки для ворот, боксерские перчатки, капы и т.д.).</w:t>
      </w:r>
    </w:p>
    <w:p w14:paraId="B7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 2019 по 2023 годы отремонтированы 4 хоккейные коробки в населенных пунктах: Шевели, Барачаты, Зеленогорск и Крапивино.</w:t>
      </w:r>
    </w:p>
    <w:p w14:paraId="B8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Строительство новых спортивных сооружений, развитие инфраструктуры существующих объектов физической культуры и спорта</w:t>
      </w:r>
    </w:p>
    <w:p w14:paraId="B9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2023 году горнолыжный комплекс «Таежный» продан ООО «ТЭП». За два года комплекс полностью модернизирован: построены новые здания </w:t>
      </w:r>
      <w:r>
        <w:rPr>
          <w:rFonts w:ascii="Times New Roman" w:hAnsi="Times New Roman"/>
          <w:i w:val="1"/>
          <w:color w:val="000000"/>
          <w:sz w:val="28"/>
        </w:rPr>
        <w:t>(кафе и пункт проката)</w:t>
      </w:r>
      <w:r>
        <w:rPr>
          <w:rFonts w:ascii="Times New Roman" w:hAnsi="Times New Roman"/>
          <w:color w:val="000000"/>
          <w:sz w:val="28"/>
        </w:rPr>
        <w:t xml:space="preserve">, приобретено новое прокатное оборудование </w:t>
      </w:r>
      <w:r>
        <w:rPr>
          <w:rFonts w:ascii="Times New Roman" w:hAnsi="Times New Roman"/>
          <w:i w:val="1"/>
          <w:color w:val="000000"/>
          <w:sz w:val="28"/>
        </w:rPr>
        <w:t>(подъемник и лыжные принадлежности)</w:t>
      </w:r>
      <w:r>
        <w:rPr>
          <w:rFonts w:ascii="Times New Roman" w:hAnsi="Times New Roman"/>
          <w:color w:val="000000"/>
          <w:sz w:val="28"/>
        </w:rPr>
        <w:t>. Построена и введена в эксплуатацию модульная котельная. Отсыпана и прогрейдирована дорога до горнолыжного комплекса, вырублен кустарник вдоль трассы. Количество посетителей увеличилось более 5 тысяч человек в год.</w:t>
      </w:r>
    </w:p>
    <w:p w14:paraId="BA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Лыжероллерная трасса поддерживается в удовлетворительном состоянии: разметка дорожного покрытия, замена освещения на светодиодные лампы, отсыпка песком волейбольных площадок, вырубка кустарников вдоль трассы и т.д.</w:t>
      </w:r>
    </w:p>
    <w:p w14:paraId="BB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Проект биатлонного стрельбища на многофункциональном спортивном комплексе пгт. Зеленогорский разработан и утвержден, требуется внесение изменений.</w:t>
      </w:r>
    </w:p>
    <w:p w14:paraId="BC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Цель: Развитие системы социальной поддержки и социального обслуживания населения</w:t>
      </w:r>
    </w:p>
    <w:p w14:paraId="BD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Увеличение численности семей, получающих социальные услуги</w:t>
      </w:r>
    </w:p>
    <w:p w14:paraId="BE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Информация о формах обслуживания населения размещена на официальном сайте управления социальной защиты населения АКМО; по мере необходимости транслируется на экранах в ТЦЗН, ЦРБ, МФЦ; публикуется в местной газете «Тайдонские радники»; размещается в социальных сетях и мессенеджерах.</w:t>
      </w:r>
    </w:p>
    <w:p w14:paraId="BF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 2022 года Крапивинский МО участвует в реализации системы долговременного ухода, направленной на оказание в совокупности социальных услуг и медицинской помощи с учетом возрастных особенностей пожилых людей и происходящих физиологических изменений. С начала реализации проекта по созданию системы долговременного ухода: </w:t>
      </w:r>
    </w:p>
    <w:p w14:paraId="C0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функционирует служба помощников по уходу </w:t>
      </w:r>
      <w:r>
        <w:rPr>
          <w:rFonts w:ascii="Times New Roman" w:hAnsi="Times New Roman"/>
          <w:i w:val="1"/>
          <w:color w:val="000000"/>
          <w:sz w:val="28"/>
        </w:rPr>
        <w:t>(3 сиделки на 12 получателей)</w:t>
      </w:r>
      <w:r>
        <w:rPr>
          <w:rFonts w:ascii="Times New Roman" w:hAnsi="Times New Roman"/>
          <w:color w:val="000000"/>
          <w:sz w:val="28"/>
        </w:rPr>
        <w:t xml:space="preserve"> для предоставления социальных услуг на дому;</w:t>
      </w:r>
    </w:p>
    <w:p w14:paraId="C1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информационный обмен об инвалидах и гражданах, достигших возраста 60 лет и старше;</w:t>
      </w:r>
    </w:p>
    <w:p w14:paraId="C2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внедрено мобильное приложение «Оптима Дом» для фиксирования оказанных социальных услуг;</w:t>
      </w:r>
    </w:p>
    <w:p w14:paraId="C3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открыт территориальный координационный центр;</w:t>
      </w:r>
    </w:p>
    <w:p w14:paraId="C4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обновлены технические средства реабилитации;</w:t>
      </w:r>
    </w:p>
    <w:p w14:paraId="C5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получена дополнительная лицензия по медицинскому массажу, сестринскому делу, по физиотерапии;</w:t>
      </w:r>
    </w:p>
    <w:p w14:paraId="C6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открыта «школа ухода»: помещения адаптированы под граждан с ОВЗ;</w:t>
      </w:r>
    </w:p>
    <w:p w14:paraId="C7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граждане старше 65 лет доставляются для получения социальных услуг в отделение дневного пребывания. </w:t>
      </w:r>
    </w:p>
    <w:p w14:paraId="C8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2022 году по национальному проекту «Демография» приобретены средства реабилитации, мебели и инвентаря для комплексного центра социального обслуживания населения. </w:t>
      </w:r>
    </w:p>
    <w:p w14:paraId="C9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Комплексным центром в 2023 году приобретен легковой автомобиль для перевозки пассажиров, с возможностью перевозки пассажиров с ограниченными физическими возможностями Лада Ларгус.</w:t>
      </w:r>
    </w:p>
    <w:p w14:paraId="CA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2022 году социально – реабилитационный центр получил финансовую поддержку Фонда поддержки детей, находящихся в трудной жизненной ситуации: в рамках данного проекта назначены кураторы 40 семей учетных категорий из числа депутатов СНД Крапивинского округа и специалистов учреждений системы профилактики безнадзорности и правонарушений несовершеннолетних Крапивинского муниципального округа. С помощью наставника будет проведена коррекция и вывод семей из социального положения (</w:t>
      </w:r>
      <w:r>
        <w:rPr>
          <w:rFonts w:ascii="Times New Roman" w:hAnsi="Times New Roman"/>
          <w:i w:val="1"/>
          <w:color w:val="000000"/>
          <w:sz w:val="28"/>
        </w:rPr>
        <w:t xml:space="preserve">профилактические мероприятия, оказание материальной помощи за счет средств администрации, лечение от алкогольной зависимости, обучение и трудоустройство семей и т.д.). </w:t>
      </w:r>
      <w:r>
        <w:rPr>
          <w:rFonts w:ascii="Times New Roman" w:hAnsi="Times New Roman"/>
          <w:color w:val="000000"/>
          <w:sz w:val="28"/>
        </w:rPr>
        <w:t>В настоящее время проходит процедура закупки оборудования: компьютерной техники, оргтехники, теле-, аудио-, видео-, фототехники, мультимедийного оборудования, приобретение специализированного оборудования, инвентаря и расходных материалов; специализированных программных, программно-методических средств, диагностических методик, видео материалов, электронных образовательных ресурсов.</w:t>
      </w:r>
    </w:p>
    <w:p w14:paraId="CB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На базе управления культуры, молодежной политики, спорта и туризма АКМО осуществляет свою деятельность «Клуб ветеранов», который посещают люди старшего поколения: вокал, танцы, общение по интересам. </w:t>
      </w:r>
    </w:p>
    <w:p w14:paraId="CC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«Серебряные волонтеры» оказывают помощь участникам СВО: плетение сетей и костюмов «Леший», сбор и упаковка гуманитарной помощи.   </w:t>
      </w:r>
    </w:p>
    <w:p w14:paraId="CD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Совет ветеранов принимают участие в заседаниях и комиссиях администрации КМО, участвуют в праздничных мероприятиях и субботниках, устраивают турслеты, организовывают поездки в театр города Кемерово и т.д.</w:t>
      </w:r>
    </w:p>
    <w:p w14:paraId="CE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комплексном центре социального обслуживания действует группа дневного стационара </w:t>
      </w:r>
      <w:r>
        <w:rPr>
          <w:rFonts w:ascii="Times New Roman" w:hAnsi="Times New Roman"/>
          <w:i w:val="1"/>
          <w:color w:val="000000"/>
          <w:sz w:val="28"/>
        </w:rPr>
        <w:t>(10-12 человек)</w:t>
      </w:r>
      <w:r>
        <w:rPr>
          <w:rFonts w:ascii="Times New Roman" w:hAnsi="Times New Roman"/>
          <w:color w:val="000000"/>
          <w:sz w:val="28"/>
        </w:rPr>
        <w:t>.</w:t>
      </w:r>
    </w:p>
    <w:p w14:paraId="CF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 семьями с детьми, находящимися в трудной жизненной ситуации, ведется постоянная профилактическая работа: приобщение к правильному образу жизни, трудоустройство родителей, оказание помощи в учебе детям, приведение условий для проживания в норму.</w:t>
      </w:r>
    </w:p>
    <w:p w14:paraId="D0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Модернизация учреждений социального обслуживания с целью более эффективного использования ресурсов, обеспечивающих их деятельность</w:t>
      </w:r>
    </w:p>
    <w:p w14:paraId="D1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2024 году приобретены и установлены светодиодные светильники во всех учреждениях образования и культуры </w:t>
      </w:r>
      <w:r>
        <w:rPr>
          <w:rFonts w:ascii="Times New Roman" w:hAnsi="Times New Roman"/>
          <w:i w:val="1"/>
          <w:color w:val="000000"/>
          <w:sz w:val="28"/>
        </w:rPr>
        <w:t>(4314 панелей и 3677 ламп, 15 уличных светильников и 20 прожекторов - это 100% от потребности)</w:t>
      </w:r>
      <w:r>
        <w:rPr>
          <w:rFonts w:ascii="Times New Roman" w:hAnsi="Times New Roman"/>
          <w:color w:val="000000"/>
          <w:sz w:val="28"/>
        </w:rPr>
        <w:t>. В результате расходы на потребление электрической энергии учреждениями образования, культуры и спорта сократились на 10 %.</w:t>
      </w:r>
    </w:p>
    <w:p w14:paraId="D2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Во всех населенных пунктах уличные светильники заменили на светодиодные.</w:t>
      </w:r>
    </w:p>
    <w:p w14:paraId="D3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2022 году социально – реабилитационный центр получил финансовую поддержку Фонда поддержки детей, находящихся в трудной жизненной ситуации, в сумме 464 тыс.руб. </w:t>
      </w:r>
    </w:p>
    <w:p w14:paraId="D4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2023 - 2024 годах проведен капитальный ремонт здания бывшего детского сада в поселке Зеленогорский, в котором расположился социально – реабилитационный центр для несовершеннолетних.</w:t>
      </w:r>
    </w:p>
    <w:p w14:paraId="D5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Благодаря муниципальной программе «Модернизация объектов социальной сферы и жилого фонда Крапивинского муниципального округа» в 2024 году проведен капитальный ремонт кровли здания УСЗН: заменили мягкую кровлю на односкатную из профилированного листа.</w:t>
      </w:r>
    </w:p>
    <w:p w14:paraId="D6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2019 году в рамках регионального проекта «Демография» приобретен автомобиль для перевозки людей старшего поколения. В 2024 году Комплексным центром приобретен легковой автомобиль с возможностью перевозки пассажиров с ограниченными физическими возможностями Лада Ларгус.</w:t>
      </w:r>
    </w:p>
    <w:p w14:paraId="D7010000">
      <w:pPr>
        <w:widowControl w:val="1"/>
        <w:spacing w:after="0" w:line="276" w:lineRule="auto"/>
        <w:ind w:firstLine="567"/>
        <w:jc w:val="center"/>
        <w:rPr>
          <w:rFonts w:ascii="Times New Roman" w:hAnsi="Times New Roman"/>
          <w:b w:val="1"/>
          <w:color w:val="000000"/>
          <w:sz w:val="32"/>
          <w:u w:val="single"/>
        </w:rPr>
      </w:pPr>
      <w:r>
        <w:rPr>
          <w:rFonts w:ascii="Times New Roman" w:hAnsi="Times New Roman"/>
          <w:b w:val="1"/>
          <w:color w:val="000000"/>
          <w:sz w:val="32"/>
          <w:u w:val="single"/>
        </w:rPr>
        <w:t>Стратегическое направление: Рост качества среды жизнедеятельности</w:t>
      </w:r>
    </w:p>
    <w:p w14:paraId="D8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Цель: Развитие территориального планирования</w:t>
      </w:r>
    </w:p>
    <w:p w14:paraId="D9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Доработка генеральных планов застройки территорий с учетом экологических, экономических, производственных, социальных и иных факторов, в том числе учитывающих создание мест парковок автомобилей, а также благоустройство придомовых территорий, позволяющих обеспечить проезд транспортных средств</w:t>
      </w:r>
    </w:p>
    <w:p w14:paraId="DA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Генеральный план Крапивинского муниципального округа утвержден Решением Совета народных депутатов №25 от 27.12.2024.</w:t>
      </w:r>
    </w:p>
    <w:p w14:paraId="DB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Правила землепользования и застройки Крапивинского муниципального округа утверждены Решением Совета народных депутатов №26 от 27.12.2024.</w:t>
      </w:r>
    </w:p>
    <w:p w14:paraId="DC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Цель: Развитие инфраструктуры жилищно-коммунального хозяйства</w:t>
      </w:r>
    </w:p>
    <w:p w14:paraId="DD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Модернизация объектов коммунальной инфраструктуры</w:t>
      </w:r>
    </w:p>
    <w:p w14:paraId="DE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Ежегодно проводим текущий ремонт на котельных округа: чистка дымоходов, замена задвижек, приобретение котлов.</w:t>
      </w:r>
    </w:p>
    <w:p w14:paraId="DF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Ежегодно проводим ремонт подземной и надземной тепловой сети: не менее 500 метров. </w:t>
      </w:r>
    </w:p>
    <w:p w14:paraId="E0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 2019 года приобрели и заменили 20 котлов на котельных округа, из них 8 – котлы длительного горения. </w:t>
      </w:r>
    </w:p>
    <w:p w14:paraId="E1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2021 году в пгт. Зеленогорский на котельной проведен капитальный ремонт бункера угля котлов и заменен сульфугля фильтров.</w:t>
      </w:r>
    </w:p>
    <w:p w14:paraId="E2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2022 году выполнен капитальный ремонт на котельной пгт. Зеленогорский.</w:t>
      </w:r>
    </w:p>
    <w:p w14:paraId="E3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2023 году построена модульная котельная в поселке Перехляй. </w:t>
      </w:r>
    </w:p>
    <w:p w14:paraId="E4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Заменили две трубы на котельных: санаторий «Борисовский», в пгт. Крапивинский.   </w:t>
      </w:r>
    </w:p>
    <w:p w14:paraId="E5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2024 году в рамках регионального проекта «Чистая вода» национального проекта «Жилье и городская среда» в селе Банново построена насосно-фильтровальная станция. Благодаря программе Кемеровской области - Кузбасса «Жилищно-коммунальный и дорожный комплекс» построены 3 насосно-фильтровальные станции в селах Борисово и Тараданово, в деревне Шевели. Более 4000 жителей сел обеспечены водой в соответствии с установленными требованиями СанПиН. Частично выполнены работы по объекту «Строительство трубопровода центрального водоснабжения в д Сарапки»: смонтирован модуль НФС, выполнены работы по укладке нового центрального трубопровода.</w:t>
      </w:r>
    </w:p>
    <w:p w14:paraId="E6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Главным мероприятием в сфере жилищно-коммунального хозяйства в 2022 году было завершение строительства объекта «Водоснабжение посёлка Крапивинского от водозабора посёлка Зеленогорского», которое началось в 2018 году. С начала реализации проекта с 2018 по 2022 годы построено более 30 км водопроводных сетей, отремонтированы насосные станции 1-го, 2-го и 3-го подъемов, смонтированы разводящие сети по пгт. Крапивинский.  </w:t>
      </w:r>
    </w:p>
    <w:p w14:paraId="E7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 2018 по 2024 годы в Крапивинском муниципальном округе построено 22,3 км водопроводных сетей. За три года проведен ремонт и замена ветхих водопроводных сетей общей протяженностью 35,3 км.</w:t>
      </w:r>
    </w:p>
    <w:p w14:paraId="E8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Ежегодно филиал ООО «Кузбасская энергосетевая компания»:</w:t>
      </w:r>
    </w:p>
    <w:p w14:paraId="E9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проводит замену не менее 20 опор на воздушные линии электропередачи;</w:t>
      </w:r>
    </w:p>
    <w:p w14:paraId="EA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выполняет замену провода АС на СИП;</w:t>
      </w:r>
    </w:p>
    <w:p w14:paraId="EB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выполняет техническое присоединение не менее 50 объектов </w:t>
      </w:r>
      <w:r>
        <w:rPr>
          <w:rFonts w:ascii="Times New Roman" w:hAnsi="Times New Roman"/>
          <w:i w:val="1"/>
          <w:color w:val="000000"/>
          <w:sz w:val="28"/>
        </w:rPr>
        <w:t>(гаражи, дачи, МКД пгт Крапивинский)</w:t>
      </w:r>
      <w:r>
        <w:rPr>
          <w:rFonts w:ascii="Times New Roman" w:hAnsi="Times New Roman"/>
          <w:color w:val="000000"/>
          <w:sz w:val="28"/>
        </w:rPr>
        <w:t>.</w:t>
      </w:r>
    </w:p>
    <w:p w14:paraId="EC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Панфиловский РЭС ежегодно:</w:t>
      </w:r>
    </w:p>
    <w:p w14:paraId="ED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заменяет более 15 опор на железобетонные;</w:t>
      </w:r>
    </w:p>
    <w:p w14:paraId="EE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ремонтирует более 10 трансформаторных подстанций;</w:t>
      </w:r>
    </w:p>
    <w:p w14:paraId="EF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меняют голые провода на СИП;</w:t>
      </w:r>
    </w:p>
    <w:p w14:paraId="F0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занимаются резкой и валкой деревьев в охранной зоне ВЛЭП.</w:t>
      </w:r>
    </w:p>
    <w:p w14:paraId="F1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 xml:space="preserve">Задача: Развитие муниципально-частного партнерства в сфере ЖКХ </w:t>
      </w:r>
    </w:p>
    <w:p w14:paraId="F2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18.03.2026 года утверждено постановление администрации Крапивинского муниципального округа от 18.03.2026 № 279 «О принятии решения о заключении концессионного соглашения в отношении объектов водоснабжения и водоотведения, находящихся в собственности муниципального образования «Крапивинский муниципальный округ». Конкурсная документация по проведению открытого конкурса на право заключения концессионного соглашения в отношении объектов водоснабжения и водоотведения, находящихся в собственности муниципального образования «Крапивинский муниципальный округ» размещена 20.03.2026 года.    </w:t>
      </w:r>
    </w:p>
    <w:p w14:paraId="F3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 Цель: Развитие жилищного хозяйства   </w:t>
      </w:r>
    </w:p>
    <w:p w14:paraId="F4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 xml:space="preserve"> Задача: Обеспечение населения района доступным и комфортным жильем</w:t>
      </w:r>
    </w:p>
    <w:p w14:paraId="F5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Ввод жилья с 2018 по 2024 годы составил 42841 м</w:t>
      </w:r>
      <w:r>
        <w:rPr>
          <w:rFonts w:ascii="Times New Roman" w:hAnsi="Times New Roman"/>
          <w:i w:val="1"/>
          <w:color w:val="000000"/>
          <w:sz w:val="28"/>
        </w:rPr>
        <w:t>2</w:t>
      </w:r>
      <w:r>
        <w:rPr>
          <w:rFonts w:ascii="Calibri" w:hAnsi="Calibri"/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(2018 год</w:t>
      </w:r>
      <w:r>
        <w:rPr>
          <w:rFonts w:ascii="Calibri" w:hAnsi="Calibri"/>
          <w:color w:val="000000"/>
        </w:rPr>
        <w:t xml:space="preserve"> – </w:t>
      </w:r>
      <w:r>
        <w:rPr>
          <w:rFonts w:ascii="Times New Roman" w:hAnsi="Times New Roman"/>
          <w:i w:val="1"/>
          <w:color w:val="000000"/>
          <w:sz w:val="28"/>
        </w:rPr>
        <w:t xml:space="preserve">3879, 2019 год - </w:t>
      </w:r>
      <w:r>
        <w:rPr>
          <w:rFonts w:ascii="Times New Roman" w:hAnsi="Times New Roman"/>
          <w:i w:val="1"/>
          <w:color w:val="000000"/>
          <w:sz w:val="28"/>
        </w:rPr>
        <w:tab/>
      </w:r>
      <w:r>
        <w:rPr>
          <w:rFonts w:ascii="Times New Roman" w:hAnsi="Times New Roman"/>
          <w:i w:val="1"/>
          <w:color w:val="000000"/>
          <w:sz w:val="28"/>
        </w:rPr>
        <w:t xml:space="preserve">3941, 2020 год - </w:t>
      </w:r>
      <w:r>
        <w:rPr>
          <w:rFonts w:ascii="Times New Roman" w:hAnsi="Times New Roman"/>
          <w:i w:val="1"/>
          <w:color w:val="000000"/>
          <w:sz w:val="28"/>
        </w:rPr>
        <w:tab/>
      </w:r>
      <w:r>
        <w:rPr>
          <w:rFonts w:ascii="Times New Roman" w:hAnsi="Times New Roman"/>
          <w:i w:val="1"/>
          <w:color w:val="000000"/>
          <w:sz w:val="28"/>
        </w:rPr>
        <w:t xml:space="preserve">9170, 2021 год - </w:t>
      </w:r>
      <w:r>
        <w:rPr>
          <w:rFonts w:ascii="Times New Roman" w:hAnsi="Times New Roman"/>
          <w:i w:val="1"/>
          <w:color w:val="000000"/>
          <w:sz w:val="28"/>
        </w:rPr>
        <w:tab/>
      </w:r>
      <w:r>
        <w:rPr>
          <w:rFonts w:ascii="Times New Roman" w:hAnsi="Times New Roman"/>
          <w:i w:val="1"/>
          <w:color w:val="000000"/>
          <w:sz w:val="28"/>
        </w:rPr>
        <w:t>7080, 2022 год -</w:t>
      </w:r>
      <w:r>
        <w:rPr>
          <w:rFonts w:ascii="Times New Roman" w:hAnsi="Times New Roman"/>
          <w:i w:val="1"/>
          <w:color w:val="000000"/>
          <w:sz w:val="28"/>
        </w:rPr>
        <w:tab/>
      </w:r>
      <w:r>
        <w:rPr>
          <w:rFonts w:ascii="Times New Roman" w:hAnsi="Times New Roman"/>
          <w:i w:val="1"/>
          <w:color w:val="000000"/>
          <w:sz w:val="28"/>
        </w:rPr>
        <w:t>4050, 2023 год – 7196, 2024 год -</w:t>
      </w:r>
      <w:r>
        <w:rPr>
          <w:rFonts w:ascii="Times New Roman" w:hAnsi="Times New Roman"/>
          <w:i w:val="1"/>
          <w:color w:val="000000"/>
          <w:sz w:val="28"/>
        </w:rPr>
        <w:tab/>
      </w:r>
      <w:r>
        <w:rPr>
          <w:rFonts w:ascii="Times New Roman" w:hAnsi="Times New Roman"/>
          <w:i w:val="1"/>
          <w:color w:val="000000"/>
          <w:sz w:val="28"/>
        </w:rPr>
        <w:t xml:space="preserve">7525). </w:t>
      </w:r>
      <w:r>
        <w:rPr>
          <w:rFonts w:ascii="Times New Roman" w:hAnsi="Times New Roman"/>
          <w:color w:val="000000"/>
          <w:sz w:val="28"/>
        </w:rPr>
        <w:t>В пгт. Крапивинский построено и введено в эксплуатацию 4 МКД.</w:t>
      </w:r>
    </w:p>
    <w:p w14:paraId="F6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 2018 года по 2024 год жилье предоставлено 253 семьям.</w:t>
      </w:r>
    </w:p>
    <w:p w14:paraId="F7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Общая площадь жилых помещений, приходящаяся в среднем на одного жителя, увеличилась на 18,5%: с 23,4 кв.м/чел в 2018 году до 27,72 кв.м/чел.</w:t>
      </w:r>
    </w:p>
    <w:p w14:paraId="F8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Демонтировано 177 аварийных зданий за семь лет </w:t>
      </w:r>
      <w:r>
        <w:rPr>
          <w:rFonts w:ascii="Times New Roman" w:hAnsi="Times New Roman"/>
          <w:i w:val="1"/>
          <w:color w:val="000000"/>
          <w:sz w:val="28"/>
        </w:rPr>
        <w:t>(2018 год – 3, 2019 год - 8, 2020 год - 12, 2021 год - 17, 2022 год - 16, 2023 год – 32, 2024 год - 89)</w:t>
      </w:r>
      <w:r>
        <w:rPr>
          <w:rFonts w:ascii="Times New Roman" w:hAnsi="Times New Roman"/>
          <w:color w:val="000000"/>
          <w:sz w:val="28"/>
        </w:rPr>
        <w:t>. В 2025 году снесено 49 единиц.</w:t>
      </w:r>
    </w:p>
    <w:p w14:paraId="F9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Модернизация жилого фонда</w:t>
      </w:r>
    </w:p>
    <w:p w14:paraId="FA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рамках реализации региональной программы капитального ремонта общего имущества в многоквартирных домах на территории Крапивинского муниципального округа в 2023-2024 годах подрядными организациями выполнены работы по ремонту кровель на домах 4 МКД в пгт. Зеленогорский.  </w:t>
      </w:r>
    </w:p>
    <w:p w14:paraId="FB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2025 году капитальному ремонту на территории Крапивинского муниципального округа подлежало 12 многоквартирных домов:</w:t>
      </w:r>
    </w:p>
    <w:p w14:paraId="FC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– ремонт 7 кровель МКД;</w:t>
      </w:r>
    </w:p>
    <w:p w14:paraId="FD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ремонт сетей электроснабжения 2 домов в пгт. Зеленогорский;</w:t>
      </w:r>
    </w:p>
    <w:p w14:paraId="FE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ремонт инженерных сетей в 3 МКД. Ремонт трех МКД будет доделан в 2026 году </w:t>
      </w:r>
      <w:r>
        <w:rPr>
          <w:rFonts w:ascii="Times New Roman" w:hAnsi="Times New Roman"/>
          <w:i w:val="1"/>
          <w:color w:val="000000"/>
          <w:sz w:val="28"/>
        </w:rPr>
        <w:t>(2 кровли и 1 инженерные системы)</w:t>
      </w:r>
      <w:r>
        <w:rPr>
          <w:rFonts w:ascii="Times New Roman" w:hAnsi="Times New Roman"/>
          <w:color w:val="000000"/>
          <w:sz w:val="28"/>
        </w:rPr>
        <w:t xml:space="preserve">. Заказчиком является НО «Фонд капитального ремонта». </w:t>
      </w:r>
    </w:p>
    <w:p w14:paraId="FF01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  Цель: Обеспечение и повышение комфортности условий проживания граждан, поддержание и улучшение санитарного и эстетического состояния территории</w:t>
      </w:r>
    </w:p>
    <w:p w14:paraId="00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 xml:space="preserve"> Задача: Обеспечение и повышение комфортности условий проживания граждан, поддержание и улучшение санитарного и эстетического состояния территории</w:t>
      </w:r>
    </w:p>
    <w:p w14:paraId="01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i w:val="1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Благодаря региональному проекту «Комфортная городская среда» с 2018 по 2024 годы благоустроили 12 придомовых территорий в пгт. Зеленогорский и 3 придомовых территории в с. Борисово. До 2024 года благоустроено 7 общественных пространств </w:t>
      </w:r>
      <w:r>
        <w:rPr>
          <w:rFonts w:ascii="Times New Roman" w:hAnsi="Times New Roman"/>
          <w:i w:val="1"/>
          <w:color w:val="000000"/>
          <w:sz w:val="28"/>
        </w:rPr>
        <w:t>(Центральный бульвар и Аллея Интернационалистов в пгт. Зеленогорский, а также вокзальная площадь; Сквер Победителей в пгт. Крапивинский).</w:t>
      </w:r>
    </w:p>
    <w:p w14:paraId="02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рамках Инициативного бюджетирования на территории Крапивинского муниципального округа за семь лет реализовано 58 проектов на сумму 97,9 млн. руб.: </w:t>
      </w:r>
    </w:p>
    <w:p w14:paraId="03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благоустройство 3 мест массового отдыха для более 8,5 тыс. жителей </w:t>
      </w:r>
      <w:r>
        <w:rPr>
          <w:rFonts w:ascii="Times New Roman" w:hAnsi="Times New Roman"/>
          <w:i w:val="1"/>
          <w:color w:val="000000"/>
          <w:sz w:val="28"/>
        </w:rPr>
        <w:t>(пгт. Крапивинский, п. Зеленовский и Перехляй)</w:t>
      </w:r>
      <w:r>
        <w:rPr>
          <w:rFonts w:ascii="Times New Roman" w:hAnsi="Times New Roman"/>
          <w:color w:val="000000"/>
          <w:sz w:val="28"/>
        </w:rPr>
        <w:t>;</w:t>
      </w:r>
    </w:p>
    <w:p w14:paraId="04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благоустройство 18 мест захоронения (</w:t>
      </w:r>
      <w:r>
        <w:rPr>
          <w:rFonts w:ascii="Times New Roman" w:hAnsi="Times New Roman"/>
          <w:i w:val="1"/>
          <w:color w:val="000000"/>
          <w:sz w:val="28"/>
        </w:rPr>
        <w:t>с. Банново – 2019 год, д. Шевели, д. Максимово, Кабаново, Бердюгино и с. Тараданово 2020 год, п. Зеленовский и п. Березовка – 2021 год; д. Скарюпино, с. Борисово, д. Ключи, п. Каменный, п. Ленинка – 2022 год; пгт. Зеленогорский, п. Красные Ключи, с. Каменка, с. Междугорное, д. Сарапки – 2023 год)</w:t>
      </w:r>
      <w:r>
        <w:rPr>
          <w:rFonts w:ascii="Times New Roman" w:hAnsi="Times New Roman"/>
          <w:color w:val="000000"/>
          <w:sz w:val="28"/>
        </w:rPr>
        <w:t>;</w:t>
      </w:r>
    </w:p>
    <w:p w14:paraId="05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ремонт покрытия искусственного сооружения Барачатского водохранилища </w:t>
      </w:r>
      <w:r>
        <w:rPr>
          <w:rFonts w:ascii="Times New Roman" w:hAnsi="Times New Roman"/>
          <w:i w:val="1"/>
          <w:color w:val="000000"/>
          <w:sz w:val="28"/>
        </w:rPr>
        <w:t>(2019 год)</w:t>
      </w:r>
      <w:r>
        <w:rPr>
          <w:rFonts w:ascii="Times New Roman" w:hAnsi="Times New Roman"/>
          <w:color w:val="000000"/>
          <w:sz w:val="28"/>
        </w:rPr>
        <w:t>;</w:t>
      </w:r>
    </w:p>
    <w:p w14:paraId="06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благоустройство 3-ех спортивных площадок </w:t>
      </w:r>
      <w:r>
        <w:rPr>
          <w:rFonts w:ascii="Times New Roman" w:hAnsi="Times New Roman"/>
          <w:i w:val="1"/>
          <w:color w:val="000000"/>
          <w:sz w:val="28"/>
        </w:rPr>
        <w:t>(с. Борисово и п. Каменный- 2021 год; пгт. Зеленогорский – 2024 год)</w:t>
      </w:r>
      <w:r>
        <w:rPr>
          <w:rFonts w:ascii="Times New Roman" w:hAnsi="Times New Roman"/>
          <w:color w:val="000000"/>
          <w:sz w:val="28"/>
        </w:rPr>
        <w:t>;</w:t>
      </w:r>
    </w:p>
    <w:p w14:paraId="07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благоустройство 5-ти территорий мемориальных комплексов </w:t>
      </w:r>
      <w:r>
        <w:rPr>
          <w:rFonts w:ascii="Times New Roman" w:hAnsi="Times New Roman"/>
          <w:i w:val="1"/>
          <w:color w:val="000000"/>
          <w:sz w:val="28"/>
        </w:rPr>
        <w:t>(2019- с. Арсеново, 2020- п. Каменный, 2022 – пгт. Крапивинский; с Барачаты, п Зеленовский и Каменный – 2024 год)</w:t>
      </w:r>
      <w:r>
        <w:rPr>
          <w:rFonts w:ascii="Times New Roman" w:hAnsi="Times New Roman"/>
          <w:color w:val="000000"/>
          <w:sz w:val="28"/>
        </w:rPr>
        <w:t>;</w:t>
      </w:r>
    </w:p>
    <w:p w14:paraId="08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благоустройство пешеходного тротуара в 2020 году </w:t>
      </w:r>
      <w:r>
        <w:rPr>
          <w:rFonts w:ascii="Times New Roman" w:hAnsi="Times New Roman"/>
          <w:i w:val="1"/>
          <w:color w:val="000000"/>
          <w:sz w:val="28"/>
        </w:rPr>
        <w:t>(пгт. Зеленогорский)</w:t>
      </w:r>
      <w:r>
        <w:rPr>
          <w:rFonts w:ascii="Times New Roman" w:hAnsi="Times New Roman"/>
          <w:color w:val="000000"/>
          <w:sz w:val="28"/>
        </w:rPr>
        <w:t>;</w:t>
      </w:r>
    </w:p>
    <w:p w14:paraId="09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благоустройство </w:t>
      </w:r>
      <w:r>
        <w:rPr>
          <w:rFonts w:ascii="Times New Roman" w:hAnsi="Times New Roman"/>
          <w:i w:val="1"/>
          <w:color w:val="000000"/>
          <w:sz w:val="28"/>
        </w:rPr>
        <w:t>(текущий ремонт)</w:t>
      </w:r>
      <w:r>
        <w:rPr>
          <w:rFonts w:ascii="Times New Roman" w:hAnsi="Times New Roman"/>
          <w:color w:val="000000"/>
          <w:sz w:val="28"/>
        </w:rPr>
        <w:t xml:space="preserve"> дорожного полотна </w:t>
      </w:r>
      <w:r>
        <w:rPr>
          <w:rFonts w:ascii="Times New Roman" w:hAnsi="Times New Roman"/>
          <w:i w:val="1"/>
          <w:color w:val="000000"/>
          <w:sz w:val="28"/>
        </w:rPr>
        <w:t>(п. Каменный)</w:t>
      </w:r>
      <w:r>
        <w:rPr>
          <w:rFonts w:ascii="Times New Roman" w:hAnsi="Times New Roman"/>
          <w:color w:val="000000"/>
          <w:sz w:val="28"/>
        </w:rPr>
        <w:t>;</w:t>
      </w:r>
    </w:p>
    <w:p w14:paraId="0A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благоустройство </w:t>
      </w:r>
      <w:r>
        <w:rPr>
          <w:rFonts w:ascii="Times New Roman" w:hAnsi="Times New Roman"/>
          <w:i w:val="1"/>
          <w:color w:val="000000"/>
          <w:sz w:val="28"/>
        </w:rPr>
        <w:t>(текущий ремонт)</w:t>
      </w:r>
      <w:r>
        <w:rPr>
          <w:rFonts w:ascii="Times New Roman" w:hAnsi="Times New Roman"/>
          <w:color w:val="000000"/>
          <w:sz w:val="28"/>
        </w:rPr>
        <w:t xml:space="preserve"> общеобразовательной школы п. Перехляй </w:t>
      </w:r>
      <w:r>
        <w:rPr>
          <w:rFonts w:ascii="Times New Roman" w:hAnsi="Times New Roman"/>
          <w:i w:val="1"/>
          <w:color w:val="000000"/>
          <w:sz w:val="28"/>
        </w:rPr>
        <w:t>(замена окон)</w:t>
      </w:r>
      <w:r>
        <w:rPr>
          <w:rFonts w:ascii="Times New Roman" w:hAnsi="Times New Roman"/>
          <w:color w:val="000000"/>
          <w:sz w:val="28"/>
        </w:rPr>
        <w:t>;</w:t>
      </w:r>
    </w:p>
    <w:p w14:paraId="0B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благоустройство 2-ух </w:t>
      </w:r>
      <w:r>
        <w:rPr>
          <w:rFonts w:ascii="Times New Roman" w:hAnsi="Times New Roman"/>
          <w:i w:val="1"/>
          <w:color w:val="000000"/>
          <w:sz w:val="28"/>
        </w:rPr>
        <w:t>(текущий ремонт</w:t>
      </w:r>
      <w:r>
        <w:rPr>
          <w:rFonts w:ascii="Times New Roman" w:hAnsi="Times New Roman"/>
          <w:color w:val="000000"/>
          <w:sz w:val="28"/>
        </w:rPr>
        <w:t xml:space="preserve">) спортивных площадок </w:t>
      </w:r>
      <w:r>
        <w:rPr>
          <w:rFonts w:ascii="Times New Roman" w:hAnsi="Times New Roman"/>
          <w:i w:val="1"/>
          <w:color w:val="000000"/>
          <w:sz w:val="28"/>
        </w:rPr>
        <w:t>(хоккейная коробка)</w:t>
      </w:r>
      <w:r>
        <w:rPr>
          <w:rFonts w:ascii="Times New Roman" w:hAnsi="Times New Roman"/>
          <w:color w:val="000000"/>
          <w:sz w:val="28"/>
        </w:rPr>
        <w:t xml:space="preserve"> в пгт. Зеленогорский – 2021 год, в пгт. Крапивинский – 2023 год;</w:t>
      </w:r>
    </w:p>
    <w:p w14:paraId="0C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благоустройство 12 детских площадок </w:t>
      </w:r>
      <w:r>
        <w:rPr>
          <w:rFonts w:ascii="Times New Roman" w:hAnsi="Times New Roman"/>
          <w:i w:val="1"/>
          <w:color w:val="000000"/>
          <w:sz w:val="28"/>
        </w:rPr>
        <w:t>(пгт. Крапивинский, п. Плотниковский и Березовка, с. Банново и Каменка, с. Тараданово, пгт. Крапивинский, д. Шевели, с. Борисово,</w:t>
      </w:r>
      <w:r>
        <w:rPr>
          <w:rFonts w:ascii="Calibri" w:hAnsi="Calibri"/>
          <w:color w:val="000000"/>
        </w:rPr>
        <w:t xml:space="preserve"> </w:t>
      </w:r>
      <w:r>
        <w:rPr>
          <w:rFonts w:ascii="Times New Roman" w:hAnsi="Times New Roman"/>
          <w:i w:val="1"/>
          <w:color w:val="000000"/>
          <w:sz w:val="28"/>
        </w:rPr>
        <w:t>с. Барачаты, п. Зеленовский, п. Каменный)</w:t>
      </w:r>
      <w:r>
        <w:rPr>
          <w:rFonts w:ascii="Times New Roman" w:hAnsi="Times New Roman"/>
          <w:color w:val="000000"/>
          <w:sz w:val="28"/>
        </w:rPr>
        <w:t>;</w:t>
      </w:r>
    </w:p>
    <w:p w14:paraId="0D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благоустройство 2-ух территорий скейт – парков </w:t>
      </w:r>
      <w:r>
        <w:rPr>
          <w:rFonts w:ascii="Times New Roman" w:hAnsi="Times New Roman"/>
          <w:i w:val="1"/>
          <w:color w:val="000000"/>
          <w:sz w:val="28"/>
        </w:rPr>
        <w:t>(пгт. Зеленогорский – 2022 год, пгт. Крапивинский – 2024 год)</w:t>
      </w:r>
      <w:r>
        <w:rPr>
          <w:rFonts w:ascii="Times New Roman" w:hAnsi="Times New Roman"/>
          <w:color w:val="000000"/>
          <w:sz w:val="28"/>
        </w:rPr>
        <w:t>;</w:t>
      </w:r>
    </w:p>
    <w:p w14:paraId="0E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i w:val="1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капитальный ремонт спортивного зала школы в 2022 году</w:t>
      </w:r>
      <w:r>
        <w:rPr>
          <w:rFonts w:ascii="Times New Roman" w:hAnsi="Times New Roman"/>
          <w:i w:val="1"/>
          <w:color w:val="000000"/>
          <w:sz w:val="28"/>
        </w:rPr>
        <w:t xml:space="preserve"> (с. Банново);</w:t>
      </w:r>
    </w:p>
    <w:p w14:paraId="0F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капитальный ремонт фасада СДК </w:t>
      </w:r>
      <w:r>
        <w:rPr>
          <w:rFonts w:ascii="Times New Roman" w:hAnsi="Times New Roman"/>
          <w:i w:val="1"/>
          <w:color w:val="000000"/>
          <w:sz w:val="28"/>
        </w:rPr>
        <w:t>(с. Тараданово – 2023 год)</w:t>
      </w:r>
      <w:r>
        <w:rPr>
          <w:rFonts w:ascii="Times New Roman" w:hAnsi="Times New Roman"/>
          <w:color w:val="000000"/>
          <w:sz w:val="28"/>
        </w:rPr>
        <w:t>;</w:t>
      </w:r>
    </w:p>
    <w:p w14:paraId="10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капитальный ремонт кровли и оконных блоков в Перехляйском СДК в 2023 году;</w:t>
      </w:r>
    </w:p>
    <w:p w14:paraId="11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благоустройство </w:t>
      </w:r>
      <w:r>
        <w:rPr>
          <w:rFonts w:ascii="Times New Roman" w:hAnsi="Times New Roman"/>
          <w:i w:val="1"/>
          <w:color w:val="000000"/>
          <w:sz w:val="28"/>
        </w:rPr>
        <w:t>(текущий ремонт - ограждение)</w:t>
      </w:r>
      <w:r>
        <w:rPr>
          <w:rFonts w:ascii="Times New Roman" w:hAnsi="Times New Roman"/>
          <w:color w:val="000000"/>
          <w:sz w:val="28"/>
        </w:rPr>
        <w:t xml:space="preserve"> территорий трех детских садов </w:t>
      </w:r>
      <w:r>
        <w:rPr>
          <w:rFonts w:ascii="Times New Roman" w:hAnsi="Times New Roman"/>
          <w:i w:val="1"/>
          <w:color w:val="000000"/>
          <w:sz w:val="28"/>
        </w:rPr>
        <w:t>(с Банново и Борисово, д Шевели – 2024 год)</w:t>
      </w:r>
      <w:r>
        <w:rPr>
          <w:rFonts w:ascii="Times New Roman" w:hAnsi="Times New Roman"/>
          <w:color w:val="000000"/>
          <w:sz w:val="28"/>
        </w:rPr>
        <w:t xml:space="preserve"> и</w:t>
      </w:r>
      <w:r>
        <w:rPr>
          <w:rFonts w:ascii="Times New Roman" w:hAnsi="Times New Roman"/>
          <w:i w:val="1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трех общеобразовательных школ </w:t>
      </w:r>
      <w:r>
        <w:rPr>
          <w:rFonts w:ascii="Times New Roman" w:hAnsi="Times New Roman"/>
          <w:i w:val="1"/>
          <w:color w:val="000000"/>
          <w:sz w:val="28"/>
        </w:rPr>
        <w:t>(п. Зеленовский, с.Банново – 2023 год; д. Тараданово – 2024 год).</w:t>
      </w:r>
    </w:p>
    <w:p w14:paraId="12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 всем программам за семь лет в округе установлены 23 детских и 12 спортивных площадок.</w:t>
      </w:r>
    </w:p>
    <w:p w14:paraId="13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Более 100 км дорог в асфальтном исполнении отремонтировано с 2018 по 2024 годы: ежегодно асфальтировали 4-5 км дорог внутри населенных пунктов, в рамках национального проекта «Безопасные и качественные дороги» ежегодно ОАО «Крапивиноавтодор» выполнял ремонт 9-10 км асфальтированных дорог </w:t>
      </w:r>
      <w:r>
        <w:rPr>
          <w:rFonts w:ascii="Times New Roman" w:hAnsi="Times New Roman"/>
          <w:i w:val="1"/>
          <w:color w:val="000000"/>
          <w:sz w:val="28"/>
        </w:rPr>
        <w:t>(Панфилово-Крапивино-Борисово протяженностью 9,8 км и в рамках содержания – 1,9 км (2021)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i w:val="1"/>
          <w:color w:val="000000"/>
          <w:sz w:val="28"/>
        </w:rPr>
        <w:t>участок дороги «Крапивино – Панфилово» 7 км (2022), в текущем году участок дороги «Крапивино – Панфилово» 8 км)</w:t>
      </w:r>
      <w:r>
        <w:rPr>
          <w:rFonts w:ascii="Times New Roman" w:hAnsi="Times New Roman"/>
          <w:color w:val="000000"/>
          <w:sz w:val="28"/>
        </w:rPr>
        <w:t xml:space="preserve">. </w:t>
      </w:r>
    </w:p>
    <w:p w14:paraId="14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 xml:space="preserve">Задача: Улучшение качества транспортных услуг, оказываемых предприятием общественного транспорта </w:t>
      </w:r>
    </w:p>
    <w:p w14:paraId="15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Парки автотранспортных предприятий обновляются. За семь лет:</w:t>
      </w:r>
    </w:p>
    <w:p w14:paraId="16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в филиал ГПК ПАТ пгт. Зеленогорский поступило 17 автобусов;</w:t>
      </w:r>
    </w:p>
    <w:p w14:paraId="17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в ГБУЗ КО «Крапивинская районная больница» поступило 18 автомобилей, из них 6 – автомобили СМП;</w:t>
      </w:r>
    </w:p>
    <w:p w14:paraId="18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в УСЗН – автомобиль «Газель» для перевозки пожилых граждан </w:t>
      </w:r>
      <w:r>
        <w:rPr>
          <w:rFonts w:ascii="Times New Roman" w:hAnsi="Times New Roman"/>
          <w:i w:val="1"/>
          <w:color w:val="000000"/>
          <w:sz w:val="28"/>
        </w:rPr>
        <w:t>(по региональному проекту «Старшее поколение» национального проекта «Демография»)</w:t>
      </w:r>
      <w:r>
        <w:rPr>
          <w:rFonts w:ascii="Times New Roman" w:hAnsi="Times New Roman"/>
          <w:color w:val="000000"/>
          <w:sz w:val="28"/>
        </w:rPr>
        <w:t>;</w:t>
      </w:r>
    </w:p>
    <w:p w14:paraId="19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в управление культуры – автомобиль «Форд» для доставки спортсменов на соревнования </w:t>
      </w:r>
      <w:r>
        <w:rPr>
          <w:rFonts w:ascii="Times New Roman" w:hAnsi="Times New Roman"/>
          <w:i w:val="1"/>
          <w:color w:val="000000"/>
          <w:sz w:val="28"/>
        </w:rPr>
        <w:t>(благодаря региональному проекту «Спорт – норма жизни» национального проекта «Демография»)</w:t>
      </w:r>
      <w:r>
        <w:rPr>
          <w:rFonts w:ascii="Times New Roman" w:hAnsi="Times New Roman"/>
          <w:color w:val="000000"/>
          <w:sz w:val="28"/>
        </w:rPr>
        <w:t>;</w:t>
      </w:r>
    </w:p>
    <w:p w14:paraId="1A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в МБУ «Автохозяйство КМО» - 10 автобусов на школьные маршруты. </w:t>
      </w:r>
    </w:p>
    <w:p w14:paraId="1B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Все автомобили поступили на предприятия за счет Губернаторских программ развития транспорта.</w:t>
      </w:r>
    </w:p>
    <w:p w14:paraId="1C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Задачи: Сокращение разрыва в развитии информационно-телекоммуникационной структуры территорий округа. Повышение доступности для населения, организаций округа информационно-коммуникационных услуг</w:t>
      </w:r>
    </w:p>
    <w:p w14:paraId="1D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Строительство волоконно-оптической линии связи: </w:t>
      </w:r>
    </w:p>
    <w:p w14:paraId="1E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пгт. Крапивинский </w:t>
      </w:r>
      <w:r>
        <w:rPr>
          <w:rFonts w:ascii="Times New Roman" w:hAnsi="Times New Roman"/>
          <w:i w:val="1"/>
          <w:color w:val="000000"/>
          <w:sz w:val="28"/>
        </w:rPr>
        <w:t>(ул. Островского, ул. Энергетиков, ул. Лесозаводская)</w:t>
      </w:r>
      <w:r>
        <w:rPr>
          <w:rFonts w:ascii="Times New Roman" w:hAnsi="Times New Roman"/>
          <w:color w:val="000000"/>
          <w:sz w:val="28"/>
        </w:rPr>
        <w:t xml:space="preserve"> в 2018 году построено и введено в эксплуатацию;</w:t>
      </w:r>
    </w:p>
    <w:p w14:paraId="1F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п. Каменный</w:t>
      </w:r>
      <w:r>
        <w:rPr>
          <w:rFonts w:ascii="Calibri" w:hAnsi="Calibri"/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 xml:space="preserve"> 2018 году построено и введено в эксплуатацию;</w:t>
      </w:r>
    </w:p>
    <w:p w14:paraId="20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д. Шевели</w:t>
      </w:r>
      <w:r>
        <w:rPr>
          <w:rFonts w:ascii="Calibri" w:hAnsi="Calibri"/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в 2019 году построено и введено в эксплуатацию;</w:t>
      </w:r>
    </w:p>
    <w:p w14:paraId="21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с. Тараданово в 2019 году построено и введено в эксплуатацию; </w:t>
      </w:r>
    </w:p>
    <w:p w14:paraId="22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с. Барачаты</w:t>
      </w:r>
      <w:r>
        <w:rPr>
          <w:rFonts w:ascii="Calibri" w:hAnsi="Calibri"/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в 2020 году построено и введено в эксплуатацию.</w:t>
      </w:r>
    </w:p>
    <w:p w14:paraId="23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с. Банново и п. Перехляй волоконно-оптическая линия связи не построена, очень затратный проект.</w:t>
      </w:r>
    </w:p>
    <w:p w14:paraId="24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Повышение качества и доступности предоставляемых гражданам и организациям государственных и муниципальных услуг на основе использования информационных и коммуникационных технологий</w:t>
      </w:r>
    </w:p>
    <w:p w14:paraId="25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Государственные и муниципальные услуги оказываются: через сайт Госуслуг, в отделе «Мои документы» Крапивинский район. Доля услуг, оказанных электронно: в 2024 году - 88,9%, в 2025 году - 95,4%.</w:t>
      </w:r>
    </w:p>
    <w:p w14:paraId="26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Дальнейшее развитие цифрового телевидения на территории округа</w:t>
      </w:r>
    </w:p>
    <w:p w14:paraId="27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2018-2019 годах запущено эфирное вещание пакета цифровых телеканалов РТРС-2.</w:t>
      </w:r>
    </w:p>
    <w:p w14:paraId="28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Цель: Улучшение состояния окружающей среды  </w:t>
      </w:r>
    </w:p>
    <w:p w14:paraId="29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Совершенствование системы управления в сфере обращения с отходами производства и потребления</w:t>
      </w:r>
    </w:p>
    <w:p w14:paraId="2A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2024 году ликвидированы 15 несанкционированных объектов размещения отходов.</w:t>
      </w:r>
    </w:p>
    <w:p w14:paraId="2B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Проект по рекультивации Зеленогорской свалки в разработке, в 2026 году планируется завершить данное мероприятие.</w:t>
      </w:r>
    </w:p>
    <w:p w14:paraId="2C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Работа по выявлению и ликвидированию свалок продолжается. В 2025 году на землях Крапивинского муниципального округа в результате выполнения рекультивации нарушенных земель ликвидированы выявленные места несанкционированного размещения отходов:</w:t>
      </w:r>
    </w:p>
    <w:p w14:paraId="2D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несанкционированная свалка ТКО расположенная в 500 м западнее с. Барачаты, общей площадью 10000м², объем свалки 10500 т;  </w:t>
      </w:r>
    </w:p>
    <w:p w14:paraId="2E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несанкционированная свалка ТКО расположенная в 600м от п. Перехляй, ул. Лесная, 2, вдоль трассы пгт. Крапивинский – с. Борисово, общей площадью 9980м², объем свалки 9800т; </w:t>
      </w:r>
    </w:p>
    <w:p w14:paraId="2F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несанкционированная свалка ТКО расположенная на расстоянии 1220м юго-восточнее д. Сарапки общей площадью 9990м², объем свалки 14000т; </w:t>
      </w:r>
    </w:p>
    <w:p w14:paraId="30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несанкционированная свалки ТКО расположенная в 250м. восточнее п. Березовка общей площадью 10000м², объем свалки 9800т.  </w:t>
      </w:r>
    </w:p>
    <w:p w14:paraId="31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На землях Крапивинского муниципального округа выявлены несанкционированные свалки ТКО: </w:t>
      </w:r>
    </w:p>
    <w:p w14:paraId="32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- 1600 метров западнее п. Каменный, площадью 9500 м², общий объем свалки 9000 м³; </w:t>
      </w:r>
    </w:p>
    <w:p w14:paraId="33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- 780 метров юго-западнее с.Тараданово, площадью 9900 м², общий объем свалки 10600 м³.</w:t>
      </w:r>
    </w:p>
    <w:p w14:paraId="34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Пропаганда экологических знаний и формирование экологической культуры</w:t>
      </w:r>
    </w:p>
    <w:p w14:paraId="35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Ежегодно граждане, общественные объединения, некоммерческие организации бизнес сообщества привлекаются к проведению субботников, посадке деревьев.</w:t>
      </w:r>
    </w:p>
    <w:p w14:paraId="36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Цель: Обеспечение общественной безопасности и правопорядка</w:t>
      </w:r>
    </w:p>
    <w:p w14:paraId="37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Профилактика преступлений, в том числе совершенных несовершеннолетними и в отношении несовершеннолетних</w:t>
      </w:r>
    </w:p>
    <w:p w14:paraId="38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Системы видеонаблюдения установлены в сетевых магазинах, в детских садах и школах, в спортивной школе и школе искусств, на зданиях клубов, на административных зданиях.</w:t>
      </w:r>
    </w:p>
    <w:p w14:paraId="39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Адресная помощь ведется постоянно: выезд в семью, контроль за ребенком, психологическая помощь. Помощь в трудоустройстве как родителей, так и несовершеннолетних детей в каникулярное время. Определение ребенка в детский лагерь. Проведение заседаний КДН.</w:t>
      </w:r>
    </w:p>
    <w:p w14:paraId="3A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Буклеты размещены на стендах городских и сельских отделов МКУ «Территориальное управление администрации Крапивинского муниципального округа», в ТЦЗН Крапивинского района, администрации Крапивинского муниципального округа, в местах массового скопления людей (остановки, автобусы, магазины).</w:t>
      </w:r>
    </w:p>
    <w:p w14:paraId="3B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2018 году было совершено 53 уличных преступления, в 2024 году - 22, снижение на 58,5%.</w:t>
      </w:r>
    </w:p>
    <w:p w14:paraId="3C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2018 году было совершено 37 бытовых преступления, в 2024 году - 27, снижение на 27%.</w:t>
      </w:r>
    </w:p>
    <w:p w14:paraId="3D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2018 году несовершеннолетними гражданами было совершено 30 преступлений, в 2024 году - 6, снижение на 80%.</w:t>
      </w:r>
    </w:p>
    <w:p w14:paraId="3E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 2018 по 2024 год в каникулярное время трудоустроили 989 несовершеннолетних подростка, в 2025 году - 181 несовершеннолетний гражданин был трудоустроен.</w:t>
      </w:r>
    </w:p>
    <w:p w14:paraId="3F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школах еженедельно проводятся уроки мужества, проводятся встречи с участниками СВО, ребята собирают посильную гуманитарную помощь солдатам.</w:t>
      </w:r>
    </w:p>
    <w:p w14:paraId="40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Противодействие незаконному обороту алкогольной продукции и наркотических средств</w:t>
      </w:r>
    </w:p>
    <w:p w14:paraId="41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Снизилась уличные преступления и преступления на бытовой почве на 45,5%: с 90 случаев в 2018 году до 49 случаев в 2024 году.</w:t>
      </w:r>
    </w:p>
    <w:p w14:paraId="42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Дикорастущую коноплю выкашивают начальники отделов МКУ «Территориальное управление АКМО», сами жители. Работает горячий телефон для передачи информации в правоохранительные органы о том, кто выращивает наркосодержащие растения.</w:t>
      </w:r>
    </w:p>
    <w:p w14:paraId="43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Преступления в сфере IT увеличились на 2 случая: с 56 в 2018 году до 58 в 2024 году.</w:t>
      </w:r>
    </w:p>
    <w:p w14:paraId="44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2018 году несовершеннолетними гражданами было совершено 30 преступлений, в 2024 году - 6, снижение на 80%.</w:t>
      </w:r>
    </w:p>
    <w:p w14:paraId="45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Информационно - образовательные материалы среди молодежи распространяются на постоянной основе, проводятся классные часы в школах, встречи с правоохранительными органами, проводятся ВКС и вебинары на тему: наркотики и последствия после их потребления, ВИЧ - инфекция и как от нее уберечься, инфекции, передающиеся половым путем и т.д.</w:t>
      </w:r>
    </w:p>
    <w:p w14:paraId="46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Задача: Обеспечение условий безопасности жизнедеятельности населения</w:t>
      </w:r>
    </w:p>
    <w:p w14:paraId="47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Реконструкция автоматизированной системы централизованного оповещения и создание комплексной системы экстренного оповещения населения об угрозе возникновения или о возникновении чрезвычайных ситуаций проходила в три этапа: с 2023 по 2025. В 2025 году данное мероприятие полностью завершено.</w:t>
      </w:r>
    </w:p>
    <w:p w14:paraId="48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Система вызова экстренных оперативных служб содержится по единому номеру «112».</w:t>
      </w:r>
    </w:p>
    <w:p w14:paraId="49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зале ЕДДС размещены 4-ре автоматизированных рабочих мест (для оперативного дежурного, оператора-112, начальника ЕДДС).</w:t>
      </w:r>
    </w:p>
    <w:p w14:paraId="4A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Метеостанция в округе имеется в наличии, новую не приобретали.</w:t>
      </w:r>
    </w:p>
    <w:p w14:paraId="4B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Стационарная КВ радиостанция в наличии, радиосвязь с необходимыми службами налажена.</w:t>
      </w:r>
    </w:p>
    <w:p w14:paraId="4C020000">
      <w:pPr>
        <w:widowControl w:val="1"/>
        <w:spacing w:line="276" w:lineRule="auto"/>
        <w:ind w:firstLine="567"/>
        <w:jc w:val="both"/>
        <w:rPr>
          <w:rFonts w:ascii="Times New Roman" w:hAnsi="Times New Roman"/>
          <w:b w:val="1"/>
          <w:color w:val="000000"/>
          <w:sz w:val="28"/>
        </w:rPr>
      </w:pPr>
    </w:p>
    <w:p w14:paraId="4D020000">
      <w:pPr>
        <w:widowControl w:val="1"/>
        <w:spacing w:line="276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Учитывая отчет по стратегии, можно сделать вывод, что план мероприятий с 2018 по 2024 годы по реализации Стратегии социально-экономического развития Крапивинского муниципального округа до 2035 года выполнен на 165 процентов, план по финансированию выполнен на 140,8 процентов.</w:t>
      </w:r>
    </w:p>
    <w:p w14:paraId="4E020000">
      <w:pPr>
        <w:widowControl w:val="1"/>
        <w:spacing w:line="276" w:lineRule="auto"/>
        <w:ind w:firstLine="567"/>
        <w:jc w:val="both"/>
        <w:rPr>
          <w:rFonts w:ascii="Times New Roman" w:hAnsi="Times New Roman"/>
          <w:b w:val="1"/>
          <w:color w:val="000000"/>
        </w:rPr>
      </w:pPr>
    </w:p>
    <w:p w14:paraId="4F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color w:val="000000"/>
          <w:sz w:val="28"/>
        </w:rPr>
      </w:pPr>
    </w:p>
    <w:p w14:paraId="50020000">
      <w:pPr>
        <w:widowControl w:val="1"/>
        <w:spacing w:after="0" w:line="276" w:lineRule="auto"/>
        <w:ind w:firstLine="567"/>
        <w:jc w:val="both"/>
        <w:rPr>
          <w:rFonts w:ascii="Times New Roman" w:hAnsi="Times New Roman"/>
          <w:b w:val="1"/>
          <w:color w:val="000000"/>
          <w:sz w:val="28"/>
        </w:rPr>
      </w:pPr>
    </w:p>
    <w:p w14:paraId="51020000"/>
    <w:p w14:paraId="52020000"/>
    <w:p w14:paraId="53020000"/>
    <w:p w14:paraId="54020000"/>
    <w:p w14:paraId="55020000"/>
    <w:p w14:paraId="56020000"/>
    <w:p w14:paraId="57020000">
      <w:pPr>
        <w:sectPr>
          <w:pgSz w:h="16838" w:orient="portrait" w:w="11906"/>
          <w:pgMar w:bottom="851" w:footer="709" w:gutter="0" w:header="709" w:left="1701" w:right="849" w:top="851"/>
          <w:titlePg/>
        </w:sectPr>
      </w:pPr>
    </w:p>
    <w:tbl>
      <w:tblPr>
        <w:tblStyle w:val="Style_3"/>
        <w:tblpPr w:bottomFromText="0" w:horzAnchor="page" w:leftFromText="180" w:rightFromText="180" w:tblpX="285" w:tblpY="-845" w:topFromText="0" w:vertAnchor="margin"/>
        <w:tblW w:type="auto" w:w="0"/>
        <w:tblLayout w:type="fixed"/>
      </w:tblPr>
      <w:tblGrid>
        <w:gridCol w:w="3154"/>
        <w:gridCol w:w="1074"/>
        <w:gridCol w:w="1798"/>
        <w:gridCol w:w="1035"/>
        <w:gridCol w:w="569"/>
        <w:gridCol w:w="945"/>
        <w:gridCol w:w="573"/>
        <w:gridCol w:w="1767"/>
      </w:tblGrid>
      <w:tr>
        <w:trPr>
          <w:trHeight w:hRule="atLeast" w:val="300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07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9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9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0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7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F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</w:rPr>
            </w:pPr>
          </w:p>
          <w:p w14:paraId="60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</w:rPr>
            </w:pPr>
            <w:bookmarkStart w:id="1" w:name="_GoBack"/>
            <w:bookmarkEnd w:id="1"/>
            <w:r>
              <w:rPr>
                <w:rFonts w:ascii="Times New Roman" w:hAnsi="Times New Roman"/>
                <w:color w:val="000000"/>
              </w:rPr>
              <w:t>Приложениие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07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2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9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035"/>
          </w:tcPr>
          <w:p/>
        </w:tc>
        <w:tc>
          <w:tcPr>
            <w:tcW w:type="dxa" w:w="569"/>
          </w:tcPr>
          <w:p/>
        </w:tc>
        <w:tc>
          <w:tcPr>
            <w:tcW w:type="dxa" w:w="945"/>
          </w:tcPr>
          <w:p/>
        </w:tc>
        <w:tc>
          <w:tcPr>
            <w:tcW w:type="dxa" w:w="573"/>
          </w:tcPr>
          <w:p/>
        </w:tc>
        <w:tc>
          <w:tcPr>
            <w:tcW w:type="dxa" w:w="1767"/>
          </w:tcPr>
          <w:p/>
        </w:tc>
      </w:tr>
      <w:tr>
        <w:trPr>
          <w:trHeight w:hRule="atLeast" w:val="300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4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07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5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9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6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89"/>
            <w:gridSpan w:val="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7020000">
            <w:pPr>
              <w:widowControl w:val="1"/>
              <w:spacing w:after="0" w:line="240" w:lineRule="auto"/>
              <w:ind w:firstLine="567"/>
              <w:jc w:val="righ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 постановлению АКМО от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24.08.2026</w:t>
            </w:r>
            <w:r>
              <w:rPr>
                <w:rFonts w:ascii="Times New Roman" w:hAnsi="Times New Roman"/>
                <w:color w:val="000000"/>
                <w:sz w:val="24"/>
              </w:rPr>
              <w:t>№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854</w:t>
            </w:r>
          </w:p>
          <w:p w14:paraId="6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15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9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07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9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0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7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F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0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405"/>
        </w:trPr>
        <w:tc>
          <w:tcPr>
            <w:tcW w:type="dxa" w:w="3154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71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Мероприятие</w:t>
            </w:r>
          </w:p>
        </w:tc>
        <w:tc>
          <w:tcPr>
            <w:tcW w:type="dxa" w:w="1074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72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Сроки реализации</w:t>
            </w:r>
          </w:p>
        </w:tc>
        <w:tc>
          <w:tcPr>
            <w:tcW w:type="dxa" w:w="1798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73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Источники финансирования</w:t>
            </w:r>
          </w:p>
        </w:tc>
        <w:tc>
          <w:tcPr>
            <w:tcW w:type="dxa" w:w="1035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74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Всего 2018-2024 </w:t>
            </w:r>
            <w:r>
              <w:rPr>
                <w:rFonts w:ascii="Times New Roman" w:hAnsi="Times New Roman"/>
                <w:b w:val="1"/>
                <w:color w:val="000000"/>
                <w:sz w:val="18"/>
              </w:rPr>
              <w:t>план</w:t>
            </w:r>
          </w:p>
        </w:tc>
        <w:tc>
          <w:tcPr>
            <w:tcW w:type="dxa" w:w="569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sz="4" w:val="nil"/>
            </w:tcBorders>
            <w:shd w:fill="E2EFD9" w:val="clear"/>
            <w:vAlign w:val="center"/>
          </w:tcPr>
          <w:p w14:paraId="75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76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Всего 2018-2024 </w:t>
            </w:r>
            <w:r>
              <w:rPr>
                <w:rFonts w:ascii="Times New Roman" w:hAnsi="Times New Roman"/>
                <w:b w:val="1"/>
                <w:color w:val="000000"/>
                <w:sz w:val="18"/>
              </w:rPr>
              <w:t>факт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77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Ожидаемые результаты реализации мероприятия </w:t>
            </w:r>
          </w:p>
        </w:tc>
      </w:tr>
      <w:tr>
        <w:trPr>
          <w:trHeight w:hRule="atLeast" w:val="408"/>
        </w:trPr>
        <w:tc>
          <w:tcPr>
            <w:tcW w:type="dxa" w:w="315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/>
        </w:tc>
        <w:tc>
          <w:tcPr>
            <w:tcW w:type="dxa" w:w="1798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/>
        </w:tc>
        <w:tc>
          <w:tcPr>
            <w:tcW w:type="dxa" w:w="1035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/>
        </w:tc>
        <w:tc>
          <w:tcPr>
            <w:tcW w:type="dxa" w:w="569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sz="4" w:val="nil"/>
            </w:tcBorders>
            <w:shd w:fill="E2EFD9" w:val="clear"/>
            <w:vAlign w:val="center"/>
          </w:tcPr>
          <w:p/>
        </w:tc>
        <w:tc>
          <w:tcPr>
            <w:tcW w:type="dxa" w:w="945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/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8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Стратегическое направление: Рост экономического потенциала</w:t>
            </w:r>
          </w:p>
        </w:tc>
      </w:tr>
      <w:tr>
        <w:trPr>
          <w:trHeight w:hRule="atLeast" w:val="46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9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Цель : Повышение эффективности и устойчивое развитие производства, переработки и реализации сельскохозяйственной продукции</w:t>
            </w:r>
          </w:p>
        </w:tc>
      </w:tr>
      <w:tr>
        <w:trPr>
          <w:trHeight w:hRule="atLeast" w:val="43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7A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Развитие животноводства. Применение современных, перспективных методов содержания крупного рогатого скота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7B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</w:tr>
      <w:tr>
        <w:trPr>
          <w:trHeight w:hRule="atLeast" w:val="975"/>
        </w:trPr>
        <w:tc>
          <w:tcPr>
            <w:tcW w:type="dxa" w:w="3154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Строительство и реконструкция существующих животноводческих помещений ООО «Агрохолдинг «Кузбасский»</w:t>
            </w:r>
          </w:p>
        </w:tc>
        <w:tc>
          <w:tcPr>
            <w:tcW w:type="dxa" w:w="1074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2018-2019</w:t>
            </w:r>
          </w:p>
        </w:tc>
        <w:tc>
          <w:tcPr>
            <w:tcW w:type="dxa" w:w="1798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15</w:t>
            </w:r>
          </w:p>
        </w:tc>
        <w:tc>
          <w:tcPr>
            <w:tcW w:type="dxa" w:w="569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0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1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82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Ввод в эксплуатацию животноводческого комплекса на 400 голов привязного содержания. Увеличение поголовья молочного стада   на 200 голов. Увеличение объема молочного производства от 5 до 10%, создание 40 рабочих мест</w:t>
            </w:r>
          </w:p>
        </w:tc>
      </w:tr>
      <w:tr>
        <w:trPr>
          <w:trHeight w:hRule="atLeast" w:val="300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Развитие свиноводства и овцеводства (ИП Полухин)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2019</w:t>
            </w:r>
          </w:p>
        </w:tc>
        <w:tc>
          <w:tcPr>
            <w:tcW w:type="dxa" w:w="1798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569"/>
            <w:vMerge w:val="restart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7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0,8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89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объемов мясного производства</w:t>
            </w:r>
          </w:p>
        </w:tc>
      </w:tr>
      <w:tr>
        <w:trPr>
          <w:trHeight w:hRule="atLeast" w:val="408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3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569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94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/>
        </w:tc>
      </w:tr>
      <w:tr>
        <w:trPr>
          <w:trHeight w:hRule="atLeast" w:val="49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Развитие мясного животноводства (ООО «Банновское»)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2019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F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21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90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поголовья мясного КРС на 200 голов. Увеличение объемов мясного производства на 10%</w:t>
            </w:r>
          </w:p>
        </w:tc>
      </w:tr>
      <w:tr>
        <w:trPr>
          <w:trHeight w:hRule="atLeast" w:val="31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FFFF00" w:val="clear"/>
            <w:vAlign w:val="center"/>
          </w:tcPr>
          <w:p w14:paraId="9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FFFF00" w:val="clear"/>
            <w:vAlign w:val="center"/>
          </w:tcPr>
          <w:p w14:paraId="92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FFFF00" w:val="clear"/>
            <w:vAlign w:val="center"/>
          </w:tcPr>
          <w:p w14:paraId="9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FFFF00" w:val="clear"/>
            <w:vAlign w:val="center"/>
          </w:tcPr>
          <w:p w14:paraId="94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FFFF00" w:val="clear"/>
            <w:vAlign w:val="center"/>
          </w:tcPr>
          <w:p w14:paraId="95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FFFF00" w:val="clear"/>
            <w:vAlign w:val="center"/>
          </w:tcPr>
          <w:p w14:paraId="96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41,8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FFFF00" w:val="clear"/>
            <w:vAlign w:val="center"/>
          </w:tcPr>
          <w:p w14:paraId="97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00" w:val="clear"/>
            <w:vAlign w:val="center"/>
          </w:tcPr>
          <w:p w14:paraId="9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465"/>
        </w:trPr>
        <w:tc>
          <w:tcPr>
            <w:tcW w:type="dxa" w:w="10915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99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Повышение плодородия почв, перспектива элитного семеноводства зерновых культур, увеличение посевных площадей зерновых и технических культур</w:t>
            </w:r>
          </w:p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Осуществление работ по борьбе с вредителями и болезнями сельскохозяйственных культур, развитие элитного семеноводства в ООО «Златозара», ООО «Золотая нива», ООО «АК Хутор» и др</w:t>
            </w:r>
          </w:p>
        </w:tc>
        <w:tc>
          <w:tcPr>
            <w:tcW w:type="dxa" w:w="1074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184,2</w:t>
            </w:r>
          </w:p>
        </w:tc>
        <w:tc>
          <w:tcPr>
            <w:tcW w:type="dxa" w:w="569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F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1104,664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</w:tcPr>
          <w:p w14:paraId="A0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урожайности зерновых, улучшение качества семян, увеличение производства зерновых культур  на 5,1%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82,8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4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51,596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17,4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7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8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20,978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</w:tcPr>
          <w:p/>
        </w:tc>
      </w:tr>
      <w:tr>
        <w:trPr>
          <w:trHeight w:hRule="atLeast" w:val="615"/>
        </w:trPr>
        <w:tc>
          <w:tcPr>
            <w:tcW w:type="dxa" w:w="315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C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1032,09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</w:tcPr>
          <w:p/>
        </w:tc>
      </w:tr>
      <w:tr>
        <w:trPr>
          <w:trHeight w:hRule="atLeast" w:val="49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технической оснащенности предприятий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485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2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1920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B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Приобретение и установка навигационных спутниковых систем ГЛОНАСС, обновление машино - тракторного парка позволит увеличить производительность труда в производстве зерновых культур</w:t>
            </w:r>
          </w:p>
        </w:tc>
      </w:tr>
      <w:tr>
        <w:trPr>
          <w:trHeight w:hRule="atLeast" w:val="97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Расширение площадей обрабатываемых земель за счет использования невостребованных земель (паев) (ООО «Усть-Сертинское»)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2019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50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9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28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Ввод в оборот более 3 тысяч гектаров. Увеличение производства зерновых культур.</w:t>
            </w:r>
          </w:p>
        </w:tc>
      </w:tr>
      <w:tr>
        <w:trPr>
          <w:trHeight w:hRule="atLeast" w:val="97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посевов технических культур (ООО «Барачатское», ООО «Златозара», ООО «Золотая Нива», ООО «Банновское», ООО «Хутор»)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2018-2019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F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0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3,2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производства технических культур</w:t>
            </w:r>
          </w:p>
        </w:tc>
      </w:tr>
      <w:tr>
        <w:trPr>
          <w:trHeight w:hRule="atLeast" w:val="315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sz="4" w:val="nil"/>
            </w:tcBorders>
            <w:shd w:fill="FFFF00" w:val="clear"/>
            <w:vAlign w:val="center"/>
          </w:tcPr>
          <w:p w14:paraId="C2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74"/>
            <w:tcBorders>
              <w:top w:sz="4" w:val="nil"/>
              <w:left w:sz="4" w:val="nil"/>
              <w:bottom w:sz="4" w:val="nil"/>
              <w:right w:sz="4" w:val="nil"/>
            </w:tcBorders>
            <w:shd w:fill="FFFF00" w:val="clear"/>
            <w:vAlign w:val="center"/>
          </w:tcPr>
          <w:p w14:paraId="C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sz="4" w:val="nil"/>
              <w:right w:sz="4" w:val="nil"/>
            </w:tcBorders>
            <w:shd w:fill="FFFF00" w:val="clear"/>
            <w:vAlign w:val="center"/>
          </w:tcPr>
          <w:p w14:paraId="C4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sz="4" w:val="nil"/>
              <w:right w:sz="4" w:val="nil"/>
            </w:tcBorders>
            <w:shd w:fill="FFFF00" w:val="clear"/>
            <w:vAlign w:val="center"/>
          </w:tcPr>
          <w:p w14:paraId="C5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725,2</w:t>
            </w:r>
          </w:p>
        </w:tc>
        <w:tc>
          <w:tcPr>
            <w:tcW w:type="dxa" w:w="569"/>
            <w:tcBorders>
              <w:top w:sz="4" w:val="nil"/>
              <w:left w:sz="4" w:val="nil"/>
              <w:bottom w:sz="4" w:val="nil"/>
              <w:right w:sz="4" w:val="nil"/>
            </w:tcBorders>
            <w:shd w:fill="FFFF00" w:val="clear"/>
            <w:vAlign w:val="center"/>
          </w:tcPr>
          <w:p w14:paraId="C6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FFFF00" w:val="clear"/>
            <w:vAlign w:val="center"/>
          </w:tcPr>
          <w:p w14:paraId="C7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3055,864</w:t>
            </w:r>
          </w:p>
        </w:tc>
        <w:tc>
          <w:tcPr>
            <w:tcW w:type="dxa" w:w="573"/>
            <w:tcBorders>
              <w:top w:sz="4" w:val="nil"/>
              <w:left w:sz="4" w:val="nil"/>
              <w:bottom w:sz="4" w:val="nil"/>
              <w:right w:sz="4" w:val="nil"/>
            </w:tcBorders>
            <w:shd w:fill="FFFF00" w:val="clear"/>
            <w:vAlign w:val="center"/>
          </w:tcPr>
          <w:p w14:paraId="C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FFFF00" w:val="clear"/>
            <w:vAlign w:val="center"/>
          </w:tcPr>
          <w:p w14:paraId="C9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570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переработки продукции производимой в ЛПХ и реализованной через потребкооперацию и другие предприятия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26,2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F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18,4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D0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Увеличение объемов реализованного молока через </w:t>
            </w:r>
          </w:p>
        </w:tc>
      </w:tr>
      <w:tr>
        <w:trPr>
          <w:trHeight w:hRule="atLeast" w:val="102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23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13,6</w:t>
            </w:r>
          </w:p>
        </w:tc>
        <w:tc>
          <w:tcPr>
            <w:tcW w:type="dxa" w:w="2340"/>
            <w:gridSpan w:val="2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D5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МСПК «Молмилк» и МСПК «Подворье», реализация овощной продукции через ПК «Крапивинский»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3,2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9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4,8</w:t>
            </w:r>
          </w:p>
        </w:tc>
        <w:tc>
          <w:tcPr>
            <w:tcW w:type="dxa" w:w="2340"/>
            <w:gridSpan w:val="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DA020000">
            <w:pPr>
              <w:widowControl w:val="1"/>
              <w:spacing w:after="0" w:line="240" w:lineRule="auto"/>
              <w:ind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FFFF00" w:val="clear"/>
            <w:vAlign w:val="center"/>
          </w:tcPr>
          <w:p w14:paraId="D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FFFF00" w:val="clear"/>
            <w:vAlign w:val="center"/>
          </w:tcPr>
          <w:p w14:paraId="D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FFFF00" w:val="clear"/>
            <w:vAlign w:val="center"/>
          </w:tcPr>
          <w:p w14:paraId="D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FFFF00" w:val="clear"/>
            <w:vAlign w:val="center"/>
          </w:tcPr>
          <w:p w14:paraId="DE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52,4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FFFF00" w:val="clear"/>
            <w:vAlign w:val="center"/>
          </w:tcPr>
          <w:p w14:paraId="DF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FFFF00" w:val="clear"/>
            <w:vAlign w:val="center"/>
          </w:tcPr>
          <w:p w14:paraId="E0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36,8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FFFF00" w:val="clear"/>
          </w:tcPr>
          <w:p w14:paraId="E1020000">
            <w:pPr>
              <w:widowControl w:val="1"/>
              <w:spacing w:after="0" w:line="240" w:lineRule="auto"/>
              <w:ind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00" w:val="clear"/>
          </w:tcPr>
          <w:p w14:paraId="E2020000">
            <w:pPr>
              <w:widowControl w:val="1"/>
              <w:spacing w:after="0" w:line="240" w:lineRule="auto"/>
              <w:ind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3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Вхождение предприятий района в созданный в Кузбассе сельскохозяйственный кластер</w:t>
            </w:r>
          </w:p>
        </w:tc>
      </w:tr>
      <w:tr>
        <w:trPr>
          <w:trHeight w:hRule="atLeast" w:val="975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E4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Вхождение в кластер многоотраслевых предприятий ООО «Агрохолдинг «Кузбасский», ООО «Барачатское», ООО «Плотниковское» и др.</w:t>
            </w:r>
          </w:p>
        </w:tc>
        <w:tc>
          <w:tcPr>
            <w:tcW w:type="dxa" w:w="107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E5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E6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E7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E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E9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конкурентоспособности производителей сельскохозяйственной продукции, обеспечение продовольственной безопасности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B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Цель : Дальнейшее развитие отраслей промышленности на основе использования ресурсного потенциала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C02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Развитие пищевой промышленности</w:t>
            </w:r>
          </w:p>
        </w:tc>
      </w:tr>
      <w:tr>
        <w:trPr>
          <w:trHeight w:hRule="atLeast" w:val="49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Развитие пекарного, кондитерского производства  (ИП Афонасьева)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2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производства продукции, создание 13 рабочих мест</w:t>
            </w:r>
          </w:p>
        </w:tc>
      </w:tr>
      <w:tr>
        <w:trPr>
          <w:trHeight w:hRule="atLeast" w:val="49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Развитие пекарного, кондитерского производства  (ИП Маслакова)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9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производства продукции, создание 5 рабочих мест</w:t>
            </w:r>
          </w:p>
        </w:tc>
      </w:tr>
      <w:tr>
        <w:trPr>
          <w:trHeight w:hRule="atLeast" w:val="121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Развитие производства Борисовской минеральной воды (разработка новых брендов, организация розлива негазированной питьевой воды) ООО «ПК «Элигомед»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2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F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0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33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производства продукции, создание 5 рабочих мест</w:t>
            </w:r>
          </w:p>
        </w:tc>
      </w:tr>
      <w:tr>
        <w:trPr>
          <w:trHeight w:hRule="atLeast" w:val="49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пивоваренного производства (ООО «Восток Холдинг»)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2019-2020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7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9,49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промышленного производства. Создание 18 рабочих мест</w:t>
            </w:r>
          </w:p>
        </w:tc>
      </w:tr>
      <w:tr>
        <w:trPr>
          <w:trHeight w:hRule="atLeast" w:val="49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производства по переработке картофеля (ООО «Хутор»)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2019-2020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E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0,2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Создание 9 рабочих мест</w:t>
            </w:r>
          </w:p>
        </w:tc>
      </w:tr>
      <w:tr>
        <w:trPr>
          <w:trHeight w:hRule="atLeast" w:val="480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Развитие производства по производству кормов для животных (ООО торгово-производственная компания «Мой друг»)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2018-2019</w:t>
            </w:r>
          </w:p>
        </w:tc>
        <w:tc>
          <w:tcPr>
            <w:tcW w:type="dxa" w:w="1798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95</w:t>
            </w:r>
          </w:p>
        </w:tc>
        <w:tc>
          <w:tcPr>
            <w:tcW w:type="dxa" w:w="569"/>
            <w:vMerge w:val="restart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1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промышленного производства.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3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569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94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340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Создание 25 рабочих мест</w:t>
            </w:r>
          </w:p>
        </w:tc>
      </w:tr>
      <w:tr>
        <w:trPr>
          <w:trHeight w:hRule="atLeast" w:val="49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убойного цеха (ИП Полухин Н.И.)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2019-2020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9,5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D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0,2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Создание 5 рабочих мест</w:t>
            </w:r>
          </w:p>
        </w:tc>
      </w:tr>
      <w:tr>
        <w:trPr>
          <w:trHeight w:hRule="atLeast" w:val="73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цеха по переработке мяса и производству мясных полуфабрикатов (ИП Полухин Н.И.)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2020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10,5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4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Создание 6 рабочих мест</w:t>
            </w:r>
          </w:p>
        </w:tc>
      </w:tr>
      <w:tr>
        <w:trPr>
          <w:trHeight w:hRule="atLeast" w:val="73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Дальнейшее развитие переработки рапса, доведение технологии до конечного продукта (ИП Шапошникова А.С.)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2020-2022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B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производства продукции</w:t>
            </w:r>
          </w:p>
        </w:tc>
      </w:tr>
      <w:tr>
        <w:trPr>
          <w:trHeight w:hRule="atLeast" w:val="315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sz="4" w:val="nil"/>
            </w:tcBorders>
            <w:shd w:fill="FFFF00" w:val="clear"/>
            <w:vAlign w:val="center"/>
          </w:tcPr>
          <w:p w14:paraId="2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74"/>
            <w:tcBorders>
              <w:top w:sz="4" w:val="nil"/>
              <w:left w:sz="4" w:val="nil"/>
              <w:bottom w:sz="4" w:val="nil"/>
              <w:right w:sz="4" w:val="nil"/>
            </w:tcBorders>
            <w:shd w:fill="FFFF00" w:val="clear"/>
            <w:vAlign w:val="center"/>
          </w:tcPr>
          <w:p w14:paraId="2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sz="4" w:val="nil"/>
              <w:right w:sz="4" w:val="nil"/>
            </w:tcBorders>
            <w:shd w:fill="FFFF00" w:val="clear"/>
            <w:vAlign w:val="center"/>
          </w:tcPr>
          <w:p w14:paraId="2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sz="4" w:val="nil"/>
              <w:right w:sz="4" w:val="nil"/>
            </w:tcBorders>
            <w:shd w:fill="FFFF00" w:val="clear"/>
            <w:vAlign w:val="center"/>
          </w:tcPr>
          <w:p w14:paraId="30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169</w:t>
            </w:r>
          </w:p>
        </w:tc>
        <w:tc>
          <w:tcPr>
            <w:tcW w:type="dxa" w:w="569"/>
            <w:tcBorders>
              <w:top w:sz="4" w:val="nil"/>
              <w:left w:sz="4" w:val="nil"/>
              <w:bottom w:sz="4" w:val="nil"/>
              <w:right w:sz="4" w:val="nil"/>
            </w:tcBorders>
            <w:shd w:fill="FFFF00" w:val="clear"/>
            <w:vAlign w:val="center"/>
          </w:tcPr>
          <w:p w14:paraId="3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FFFF00" w:val="clear"/>
            <w:vAlign w:val="center"/>
          </w:tcPr>
          <w:p w14:paraId="32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64,09</w:t>
            </w:r>
          </w:p>
        </w:tc>
        <w:tc>
          <w:tcPr>
            <w:tcW w:type="dxa" w:w="573"/>
            <w:tcBorders>
              <w:top w:sz="4" w:val="nil"/>
              <w:left w:sz="4" w:val="nil"/>
              <w:bottom w:sz="4" w:val="nil"/>
              <w:right w:sz="4" w:val="nil"/>
            </w:tcBorders>
            <w:shd w:fill="FFFF00" w:val="clear"/>
            <w:vAlign w:val="center"/>
          </w:tcPr>
          <w:p w14:paraId="3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FFFF00" w:val="clear"/>
            <w:vAlign w:val="center"/>
          </w:tcPr>
          <w:p w14:paraId="3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503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Разработка месторождений прочих полезных ископаемых</w:t>
            </w:r>
          </w:p>
        </w:tc>
      </w:tr>
      <w:tr>
        <w:trPr>
          <w:trHeight w:hRule="atLeast" w:val="720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Разработка месторождений нерудных материалов: базальтов, гравийно-песчаных смесей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211</w:t>
            </w:r>
          </w:p>
        </w:tc>
        <w:tc>
          <w:tcPr>
            <w:tcW w:type="dxa" w:w="569"/>
            <w:vMerge w:val="restart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3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181,3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объемов добычи полезных ископаемых, создание 88 рабочих мест</w:t>
            </w:r>
          </w:p>
        </w:tc>
      </w:tr>
      <w:tr>
        <w:trPr>
          <w:trHeight w:hRule="atLeast" w:val="73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(ООО «Сибгеолит», ООО «Кузбасская Строительная Компания», ООО «Объект Северный» </w:t>
            </w:r>
          </w:p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3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569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94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49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Разработка природных цеолитов Пегасского месторождения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2019-2035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3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Увеличение объемов добычи полезных </w:t>
            </w:r>
            <w:r>
              <w:rPr>
                <w:rFonts w:ascii="Times New Roman" w:hAnsi="Times New Roman"/>
                <w:color w:val="000000"/>
                <w:sz w:val="18"/>
              </w:rPr>
              <w:t>ископаемых, создание 100  рабочих мест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4503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Развитие угледобычи</w:t>
            </w:r>
          </w:p>
        </w:tc>
      </w:tr>
      <w:tr>
        <w:trPr>
          <w:trHeight w:hRule="atLeast" w:val="735"/>
        </w:trPr>
        <w:tc>
          <w:tcPr>
            <w:tcW w:type="dxa" w:w="3154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Разработка нового угольного пласта на Крапивинском участке. Строительство шахты</w:t>
            </w:r>
          </w:p>
        </w:tc>
        <w:tc>
          <w:tcPr>
            <w:tcW w:type="dxa" w:w="1074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2024-2028</w:t>
            </w:r>
          </w:p>
        </w:tc>
        <w:tc>
          <w:tcPr>
            <w:tcW w:type="dxa" w:w="1798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B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объемов добычи полезных ископаемых, создание 200 рабочих мест</w:t>
            </w:r>
          </w:p>
        </w:tc>
      </w:tr>
      <w:tr>
        <w:trPr>
          <w:trHeight w:hRule="atLeast" w:val="300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Разработка Комаровского месторождения (ООО «Ровер»)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2025-2035</w:t>
            </w:r>
          </w:p>
        </w:tc>
        <w:tc>
          <w:tcPr>
            <w:tcW w:type="dxa" w:w="1798"/>
            <w:vMerge w:val="restart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vMerge w:val="restart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50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132</w:t>
            </w:r>
          </w:p>
        </w:tc>
        <w:tc>
          <w:tcPr>
            <w:tcW w:type="dxa" w:w="569"/>
            <w:vMerge w:val="restart"/>
            <w:tcBorders>
              <w:top w:sz="4" w:val="nil"/>
              <w:left w:color="000000" w:sz="8" w:val="single"/>
              <w:bottom w:sz="4" w:val="nil"/>
              <w:right w:sz="4" w:val="nil"/>
            </w:tcBorders>
            <w:shd w:fill="auto" w:val="clear"/>
            <w:vAlign w:val="center"/>
          </w:tcPr>
          <w:p w14:paraId="5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3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объемов добычи полезных ископаемых, создание 29 рабочих мест</w:t>
            </w:r>
          </w:p>
        </w:tc>
      </w:tr>
      <w:tr>
        <w:trPr>
          <w:trHeight w:hRule="atLeast" w:val="42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gridSpan w:val="1"/>
            <w:vMerge w:val="continue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35"/>
            <w:gridSpan w:val="1"/>
            <w:vMerge w:val="continue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569"/>
            <w:gridSpan w:val="1"/>
            <w:vMerge w:val="continue"/>
            <w:tcBorders>
              <w:top w:sz="4" w:val="nil"/>
              <w:left w:color="000000" w:sz="8" w:val="single"/>
              <w:bottom w:sz="4" w:val="nil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94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403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Цель : Обеспечение устойчивого развития малого и среднего предпринимательства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503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Содействие в финансовом и имущественном обеспечении развития субъектов малого и среднего предпринимательства</w:t>
            </w:r>
          </w:p>
        </w:tc>
      </w:tr>
      <w:tr>
        <w:trPr>
          <w:trHeight w:hRule="atLeast" w:val="97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Организация образовательных курсов и семинаров для руководителей и специалистов организаций и индивидуальных предпринимателей 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Местный бюджет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0,21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B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0,17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численности субъектов малого и среднего предпринимательства</w:t>
            </w:r>
          </w:p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Предоставление субсидий субъектам малого и среднего предпринимательства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3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60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0,21</w:t>
            </w:r>
          </w:p>
        </w:tc>
        <w:tc>
          <w:tcPr>
            <w:tcW w:type="dxa" w:w="56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6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62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4,07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6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численности субъектов малого и среднего предпринимательства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color="000000" w:sz="8" w:val="single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6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3,88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69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0,21</w:t>
            </w:r>
          </w:p>
        </w:tc>
        <w:tc>
          <w:tcPr>
            <w:tcW w:type="dxa" w:w="569"/>
            <w:tcBorders>
              <w:top w:color="000000" w:sz="8" w:val="single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6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0,19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/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C03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Содействие в повышении уровня информированности субъектов малого и среднего предпринимательства</w:t>
            </w:r>
          </w:p>
        </w:tc>
      </w:tr>
      <w:tr>
        <w:trPr>
          <w:trHeight w:hRule="atLeast" w:val="630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Информационная поддержка субъектов малого и среднего предпринимательства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Финансирование не требуется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Содействие развитию предпринимательства</w:t>
            </w:r>
          </w:p>
        </w:tc>
      </w:tr>
      <w:tr>
        <w:trPr>
          <w:trHeight w:hRule="atLeast" w:val="570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7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Консультационная поддержка субъектов малого и среднего предпринимательства</w:t>
            </w:r>
          </w:p>
        </w:tc>
        <w:tc>
          <w:tcPr>
            <w:tcW w:type="dxa" w:w="107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7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7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Финансирование не требуется</w:t>
            </w:r>
          </w:p>
        </w:tc>
        <w:tc>
          <w:tcPr>
            <w:tcW w:type="dxa" w:w="1035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7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7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7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Содействие развитию предпринимательства</w:t>
            </w:r>
          </w:p>
        </w:tc>
      </w:tr>
      <w:tr>
        <w:trPr>
          <w:trHeight w:hRule="atLeast" w:val="480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B03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Формирование позитивного образа предпринимательства как важного фактора экономико-социального развития района</w:t>
            </w:r>
          </w:p>
        </w:tc>
      </w:tr>
      <w:tr>
        <w:trPr>
          <w:trHeight w:hRule="atLeast" w:val="73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Подготовка и выпуск информационных материалов по вопросам развития малого и среднего предпринимательства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Финансирование не требуется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Популяризация предпринимательской деятельности</w:t>
            </w:r>
          </w:p>
        </w:tc>
      </w:tr>
      <w:tr>
        <w:trPr>
          <w:trHeight w:hRule="atLeast" w:val="315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8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7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8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8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8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8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8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A03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Цель : Обеспечение развития сферы туризма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B03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Организация зон отдыха на р. Томь</w:t>
            </w:r>
          </w:p>
        </w:tc>
      </w:tr>
      <w:tr>
        <w:trPr>
          <w:trHeight w:hRule="atLeast" w:val="49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лодочной станции (ИП Новик А.В.)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2019-2020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0,3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1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туристической привлекательности</w:t>
            </w:r>
          </w:p>
        </w:tc>
      </w:tr>
      <w:tr>
        <w:trPr>
          <w:trHeight w:hRule="atLeast" w:val="31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A03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Развитие инфраструктуры туризма, в том числе на имеющихся объектах</w:t>
            </w:r>
          </w:p>
        </w:tc>
      </w:tr>
      <w:tr>
        <w:trPr>
          <w:trHeight w:hRule="atLeast" w:val="300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Дальнейшее развитие  многофункционального комплекса в п.Зеленогорский. 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2020</w:t>
            </w:r>
          </w:p>
        </w:tc>
        <w:tc>
          <w:tcPr>
            <w:tcW w:type="dxa" w:w="1798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vMerge w:val="restart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7,4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Повышение туристической привлекательности </w:t>
            </w:r>
          </w:p>
        </w:tc>
      </w:tr>
      <w:tr>
        <w:trPr>
          <w:trHeight w:hRule="atLeast" w:val="43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3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569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94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73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Развитие инфраструктуры горнолыжной трассы, дальнейшее развитие горнолыжного спорта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2020-2035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7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75,975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Повышение туристической привлекательности </w:t>
            </w:r>
          </w:p>
        </w:tc>
      </w:tr>
      <w:tr>
        <w:trPr>
          <w:trHeight w:hRule="atLeast" w:val="49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Развитие домов отдыха в рекреационной зоне района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2019-2035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E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2,8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Повышение туристической привлекательности </w:t>
            </w:r>
          </w:p>
        </w:tc>
      </w:tr>
      <w:tr>
        <w:trPr>
          <w:trHeight w:hRule="atLeast" w:val="145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базы</w:t>
            </w:r>
            <w:r>
              <w:rPr>
                <w:rFonts w:ascii="Times New Roman" w:hAnsi="Times New Roman"/>
                <w:i w:val="1"/>
                <w:color w:val="000000"/>
                <w:sz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</w:rPr>
              <w:t>отдыха: банный комплекс, 6 гостевых домов, гостиница, предприятие общественного питания, административно-хозяйственное помещение, парковка. (ООО «Восток Холдинг»)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2019-2020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100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5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10,68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Повышение туристической привлекательности 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703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Развитие туризма</w:t>
            </w:r>
          </w:p>
        </w:tc>
      </w:tr>
      <w:tr>
        <w:trPr>
          <w:trHeight w:hRule="atLeast" w:val="495"/>
        </w:trPr>
        <w:tc>
          <w:tcPr>
            <w:tcW w:type="dxa" w:w="3154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Внедрение конных туристических маршрутов</w:t>
            </w:r>
          </w:p>
        </w:tc>
        <w:tc>
          <w:tcPr>
            <w:tcW w:type="dxa" w:w="1074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2020-2024</w:t>
            </w:r>
          </w:p>
        </w:tc>
        <w:tc>
          <w:tcPr>
            <w:tcW w:type="dxa" w:w="1798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Повышение туристической привлекательности </w:t>
            </w:r>
          </w:p>
        </w:tc>
      </w:tr>
      <w:tr>
        <w:trPr>
          <w:trHeight w:hRule="atLeast" w:val="46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Разработка экологических маршрутов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2019-2024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Повышение туристической привлекательности </w:t>
            </w:r>
          </w:p>
        </w:tc>
      </w:tr>
      <w:tr>
        <w:trPr>
          <w:trHeight w:hRule="atLeast" w:val="97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Внедрение и развитие снегоходных маршрутов, организация спортивно-туристического комплекса «Тайдон» (ООО «Тайдон»)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2018-2020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68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B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105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Повышение туристической привлекательности </w:t>
            </w:r>
          </w:p>
        </w:tc>
      </w:tr>
      <w:tr>
        <w:trPr>
          <w:trHeight w:hRule="atLeast" w:val="49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Дальнейшее развитие этнографического центра «Мунгатский острог»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2018-2024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2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1,7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привлекательности этнографического центра</w:t>
            </w:r>
          </w:p>
        </w:tc>
      </w:tr>
      <w:tr>
        <w:trPr>
          <w:trHeight w:hRule="atLeast" w:val="97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Формирование муниципальных туристических маршрутов  и включение их в школьные образовательные программы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2019-2024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Развитие внутреннего экскурсионного туризма среди школьников</w:t>
            </w:r>
          </w:p>
        </w:tc>
      </w:tr>
      <w:tr>
        <w:trPr>
          <w:trHeight w:hRule="atLeast" w:val="480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DB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Формирование благоприятного инвестиционного имиджа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vMerge w:val="restart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E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E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инвестиционной привлекательности</w:t>
            </w:r>
          </w:p>
        </w:tc>
      </w:tr>
      <w:tr>
        <w:trPr>
          <w:trHeight w:hRule="atLeast" w:val="31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Крапивинского муниципального района</w:t>
            </w:r>
          </w:p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3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569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750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E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Информационное обеспечение инвестиционной деятельности</w:t>
            </w:r>
          </w:p>
        </w:tc>
        <w:tc>
          <w:tcPr>
            <w:tcW w:type="dxa" w:w="107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E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E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E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E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E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540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Мониторинг создания новых рабочих мест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Организация профессионального обучения и дополнительного профессионального образования 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16,8</w:t>
            </w:r>
          </w:p>
        </w:tc>
        <w:tc>
          <w:tcPr>
            <w:tcW w:type="dxa" w:w="569"/>
            <w:vMerge w:val="restart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3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Снижение уровня безработицы.</w:t>
            </w:r>
          </w:p>
        </w:tc>
      </w:tr>
      <w:tr>
        <w:trPr>
          <w:trHeight w:hRule="atLeast" w:val="42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3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569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94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420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общественных работ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3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1,4</w:t>
            </w:r>
          </w:p>
        </w:tc>
        <w:tc>
          <w:tcPr>
            <w:tcW w:type="dxa" w:w="569"/>
            <w:vMerge w:val="restart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3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8,2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F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Снижение уровня безработицы.</w:t>
            </w:r>
          </w:p>
        </w:tc>
      </w:tr>
      <w:tr>
        <w:trPr>
          <w:trHeight w:hRule="atLeast" w:val="43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3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569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94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340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доходов населения</w:t>
            </w:r>
          </w:p>
        </w:tc>
      </w:tr>
      <w:tr>
        <w:trPr>
          <w:trHeight w:hRule="atLeast" w:val="49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временного трудоустройства несовершеннолетних граждан в возрасте от 14 до 18 лет в свободное от учёбы время, и безработных граждан, испытывающих трудности в поиске работы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4,2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06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5,6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0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Снижение уровня безработицы.</w:t>
            </w:r>
          </w:p>
        </w:tc>
      </w:tr>
      <w:tr>
        <w:trPr>
          <w:trHeight w:hRule="atLeast" w:val="46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4,2</w:t>
            </w:r>
          </w:p>
        </w:tc>
        <w:tc>
          <w:tcPr>
            <w:tcW w:type="dxa" w:w="2340"/>
            <w:gridSpan w:val="2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0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доходов населения</w:t>
            </w:r>
          </w:p>
        </w:tc>
      </w:tr>
      <w:tr>
        <w:trPr>
          <w:trHeight w:hRule="atLeast" w:val="28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1,4</w:t>
            </w:r>
          </w:p>
        </w:tc>
        <w:tc>
          <w:tcPr>
            <w:tcW w:type="dxa" w:w="2340"/>
            <w:gridSpan w:val="2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</w:tcPr>
          <w:p w14:paraId="11040000">
            <w:pPr>
              <w:widowControl w:val="1"/>
              <w:spacing w:after="0" w:line="240" w:lineRule="auto"/>
              <w:ind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  <w:tr>
        <w:trPr>
          <w:trHeight w:hRule="atLeast" w:val="49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(собственные средства)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6040000">
            <w:pPr>
              <w:widowControl w:val="1"/>
              <w:spacing w:after="0" w:line="240" w:lineRule="auto"/>
              <w:ind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  <w:tr>
        <w:trPr>
          <w:trHeight w:hRule="atLeast" w:val="495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1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Содействие самозанятости безработных граждан</w:t>
            </w:r>
          </w:p>
        </w:tc>
        <w:tc>
          <w:tcPr>
            <w:tcW w:type="dxa" w:w="107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1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1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1A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3,6</w:t>
            </w:r>
          </w:p>
        </w:tc>
        <w:tc>
          <w:tcPr>
            <w:tcW w:type="dxa" w:w="56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1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1C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48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Создание новых рабочих мест</w:t>
            </w:r>
          </w:p>
        </w:tc>
      </w:tr>
      <w:tr>
        <w:trPr>
          <w:trHeight w:hRule="atLeast" w:val="169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Мероприятия по выявлению работодателей, не осуществляющих оформление трудовых отношений с работниками (совместные рейдовые проверки, взаимодействие с надзорными, контрольными и правоохранительными органами)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Снижение «неформальной» занятости</w:t>
            </w:r>
          </w:p>
        </w:tc>
      </w:tr>
      <w:tr>
        <w:trPr>
          <w:trHeight w:hRule="atLeast" w:val="975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2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Информационное сопровождение работы по легализации трудовых отношений</w:t>
            </w:r>
          </w:p>
        </w:tc>
        <w:tc>
          <w:tcPr>
            <w:tcW w:type="dxa" w:w="107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2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2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2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2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2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Снижение «неформальной» занятости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C04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Цель : Развитие сферы образования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D04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Создание условий для обеспечения образовательного процесса</w:t>
            </w:r>
          </w:p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Улучшение материальной базы образовательных учреждений Капитальный и текущий ремонт образовательных учреждений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3,5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3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оказания образовательных услуг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3,5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Реконструкция блока «В» МБОУ «Шевелевская средняя общеобразовательная школа»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4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3E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91,719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sz="4" w:val="nil"/>
            </w:tcBorders>
            <w:shd w:fill="auto" w:val="clear"/>
          </w:tcPr>
          <w:p w14:paraId="3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оказания образовательных услуг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87,435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sz="4" w:val="nil"/>
            </w:tcBorders>
            <w:shd w:fill="auto" w:val="clea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47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4,284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sz="4" w:val="nil"/>
            </w:tcBorders>
            <w:shd w:fill="auto" w:val="clea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Ремонт кровли МБОУ «Банновская основная общеобразовательная школа»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4D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2,2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оказания образовательных услуг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2,2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Ремонт кровли МБОУ «Мунгатская основная общеобразовательная школа»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1,76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58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4,53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5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оказания образовательных услуг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5D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2,5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1,76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2,03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Ремонт кровли МБОУ «Красноключинская основная общеобразовательная школа»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67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0,692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оказания образовательных услуг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0,692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Реконструкция МБОУ «Крапивинская средняя общеобразовательная школа» здание по адресу: пгт Крапивинский, ул. Юбилейная, 4 (начальные классы)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2019-2020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130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72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3,495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7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оказания образовательных услуг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130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B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3,495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Проектирование и капитальный ремонт МБОУ«Тарадановская средняя общеобразовательная школа»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2021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100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81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4,777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8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оказания образовательных услуг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100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A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4,777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Проектирование и капитальный ремонт МКДОУ «Борисовский детский сад»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2023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90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0,034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9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оказания образовательных услуг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9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0,034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Проектирование и капитальный ремонт МБОУ «Банновская основная общеобразовательная школа»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2020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61,1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9F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4,311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A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оказания образовательных услуг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61,1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8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2,711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75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bottom"/>
          </w:tcPr>
          <w:p w14:paraId="A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(Предпринимательская деятельность)</w:t>
            </w:r>
          </w:p>
        </w:tc>
        <w:tc>
          <w:tcPr>
            <w:tcW w:type="dxa" w:w="103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AA040000">
            <w:pPr>
              <w:widowControl w:val="1"/>
              <w:spacing w:after="0" w:line="240" w:lineRule="auto"/>
              <w:ind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bottom"/>
          </w:tcPr>
          <w:p w14:paraId="AB040000">
            <w:pPr>
              <w:widowControl w:val="1"/>
              <w:spacing w:after="0" w:line="240" w:lineRule="auto"/>
              <w:ind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AC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1,6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Проектирование и капитальный ремонт МБОУ «Красноключинская основная общеобразовательная школа»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2021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74,6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2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0,968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B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оказания образовательных услуг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74,6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B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0,968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Проектирование и капитальный ремонт МБОУ «Перехляйская основная общеобразовательная школа»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2022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92,9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1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1,623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C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оказания образовательных услуг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92,9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A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1,623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Проектирование и капитальный ремонт МКДОУ «Перехляйский детский сад»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2020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D0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1,384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D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оказания образовательных услуг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9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1,384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D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Оснащение цифровым оборудованием и оргтехникой общеобразовательных учреждений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D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2019-2024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87,3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DF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79,131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sz="4" w:val="nil"/>
            </w:tcBorders>
            <w:shd w:fill="auto" w:val="clear"/>
            <w:vAlign w:val="center"/>
          </w:tcPr>
          <w:p w14:paraId="E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оказания образовательных услуг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87,3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61,432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sz="4" w:val="nil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E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E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E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E8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17,699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sz="4" w:val="nil"/>
            </w:tcBorders>
            <w:shd w:fill="auto" w:val="clea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Переход на ФГОС основного общего образования и ФГОС среднего общего образования.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2018-2020</w:t>
            </w:r>
          </w:p>
        </w:tc>
        <w:tc>
          <w:tcPr>
            <w:tcW w:type="dxa" w:w="1798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vMerge w:val="restart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4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образования</w:t>
            </w:r>
          </w:p>
        </w:tc>
      </w:tr>
      <w:tr>
        <w:trPr>
          <w:trHeight w:hRule="atLeast" w:val="46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3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569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94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495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F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Переход на ФГОС дошкольного образования</w:t>
            </w:r>
          </w:p>
        </w:tc>
        <w:tc>
          <w:tcPr>
            <w:tcW w:type="dxa" w:w="107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F104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</w:t>
            </w:r>
          </w:p>
        </w:tc>
        <w:tc>
          <w:tcPr>
            <w:tcW w:type="dxa" w:w="1798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F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F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F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F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образования</w:t>
            </w:r>
          </w:p>
        </w:tc>
      </w:tr>
      <w:tr>
        <w:trPr>
          <w:trHeight w:hRule="atLeast" w:val="73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количества детских творческих объединений разной направленности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Охват детей услугами дополнительного  образования</w:t>
            </w:r>
          </w:p>
        </w:tc>
      </w:tr>
      <w:tr>
        <w:trPr>
          <w:trHeight w:hRule="atLeast" w:val="37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Увеличение детских объединений патриотической направленности 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vMerge w:val="restart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0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0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количества детей охваченных мероприятиями патриотической направленности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3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569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количества питающихся в школьных столовых до 100%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205,6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0B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14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0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Охват детей горячим питанием в </w:t>
            </w:r>
            <w:r>
              <w:rPr>
                <w:rFonts w:ascii="Times New Roman" w:hAnsi="Times New Roman"/>
                <w:color w:val="000000"/>
                <w:sz w:val="18"/>
              </w:rPr>
              <w:t>общеобразовательных организациях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31,1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14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14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85,5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49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(указать)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89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Строительство многофункциональных спортивных площадок на территории образовательных учреждений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2,941152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22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6,4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2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2,941152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2B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6,4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Работа лагеря с дневным пребыванием детей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6,3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35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7,5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3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Охват обучающихся организованными формами труда и отдыха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6,3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E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7,5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Работа лагеря труда и отдыха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0,7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44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1,4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Охват обучающихся организованными формами труда и отдыха</w:t>
            </w:r>
          </w:p>
        </w:tc>
      </w:tr>
      <w:tr>
        <w:trPr>
          <w:trHeight w:hRule="atLeast" w:val="39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0,7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1,4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и работа палаточного лагеря и организация походов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4F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1,75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отдыха школьников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5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52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1,4</w:t>
            </w:r>
          </w:p>
        </w:tc>
        <w:tc>
          <w:tcPr>
            <w:tcW w:type="dxa" w:w="56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5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1,75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43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5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Привлечение молодых специалистов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5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0,28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5A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0,35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кадровой обеспеченности и качества обучения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5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5D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0,28</w:t>
            </w:r>
          </w:p>
        </w:tc>
        <w:tc>
          <w:tcPr>
            <w:tcW w:type="dxa" w:w="56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5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0,35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6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Направление педагогов на курсы повышения квалификации 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6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1,05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65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2,13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образования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6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68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1,05</w:t>
            </w:r>
          </w:p>
        </w:tc>
        <w:tc>
          <w:tcPr>
            <w:tcW w:type="dxa" w:w="56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6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2,13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Привлечение врачебного и среднего медицинского персонала (программы «Земский доктор» и «Земский фельдшер»)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70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32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доступности медицинских услуг, повышение их качества</w:t>
            </w:r>
          </w:p>
        </w:tc>
      </w:tr>
      <w:tr>
        <w:trPr>
          <w:trHeight w:hRule="atLeast" w:val="46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32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Приобретение и ремонт оборудования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1,3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7B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67,77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Максимальное оказание медицинской помощи на территории проживания</w:t>
            </w:r>
          </w:p>
        </w:tc>
      </w:tr>
      <w:tr>
        <w:trPr>
          <w:trHeight w:hRule="atLeast" w:val="73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(предпринимательская деятельность)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1,3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67,77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Проведение текущего ремонта в отделениях круглосуточного стационара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0,7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86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1,05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оказания медицинских услуг</w:t>
            </w:r>
          </w:p>
        </w:tc>
      </w:tr>
      <w:tr>
        <w:trPr>
          <w:trHeight w:hRule="atLeast" w:val="73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(предпринимательская деятельность)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0,7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1,05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420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Открытие двух фельдшерско-акушерских пунктов (д.Новобарачаты, д.Долгополово)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91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65,982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доступности медицинских услуг, повышение их качества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65,982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49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населения выездными бригадами специалистов в отдаленные территории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79,1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93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9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Выявление болезней на ранней стадии.</w:t>
            </w:r>
          </w:p>
        </w:tc>
      </w:tr>
      <w:tr>
        <w:trPr>
          <w:trHeight w:hRule="atLeast" w:val="142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79,1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1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93</w:t>
            </w:r>
          </w:p>
        </w:tc>
        <w:tc>
          <w:tcPr>
            <w:tcW w:type="dxa" w:w="2340"/>
            <w:gridSpan w:val="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охвата всех граждан профилактическими медицинскими осмотрами не реже одного раза в год и диспансеризацией не реже 1 раза в три года</w:t>
            </w:r>
          </w:p>
        </w:tc>
      </w:tr>
      <w:tr>
        <w:trPr>
          <w:trHeight w:hRule="atLeast" w:val="420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A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Привлечение областных специалистов (поезд здоровья)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A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2,04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8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1,88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Проведение консультативной помощи населению, отбор пациентов для дальнейшего лечения в областных центрах</w:t>
            </w:r>
          </w:p>
        </w:tc>
      </w:tr>
      <w:tr>
        <w:trPr>
          <w:trHeight w:hRule="atLeast" w:val="78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A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AB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2,04</w:t>
            </w:r>
          </w:p>
        </w:tc>
        <w:tc>
          <w:tcPr>
            <w:tcW w:type="dxa" w:w="56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1,88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202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Работа кабинета неотложной медицинской помощи 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1,79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3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Снижение показателей смертности трудоспособного возраста (до 350 случаев на 100 тыс. населения), смертности от болезней системы кровообращения (до 450 случаев на 100 тыс. населения), смертности от новообразований, в том числе от злокачественных (до 185 случаев на 100 тыс. населения), младенческой смертности (до 4,5 случая на 1 тыс. родившихся детей)</w:t>
            </w:r>
          </w:p>
        </w:tc>
      </w:tr>
      <w:tr>
        <w:trPr>
          <w:trHeight w:hRule="atLeast" w:val="145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1,79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Применение телемедицинских технологий, проведение перинатального скрининга, привлечение необходимого количества медицинских работников для оказания первичной медико – санитарной помощи по акушерству и гинекологии и педиатрии 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F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0,9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C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Снижение младенческой и детской смертности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0,9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96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(предпринимательская деятельность)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52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доли выездов бригад скорой медицинской помощи со време</w:t>
            </w:r>
            <w:r>
              <w:rPr>
                <w:rFonts w:ascii="Times New Roman" w:hAnsi="Times New Roman"/>
                <w:color w:val="000000"/>
                <w:sz w:val="18"/>
              </w:rPr>
              <w:t>нем доезда до пострадавшего менее 20 мин. до 80%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0,35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0,5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D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Снижение смертности от дорожно – транспортных происшествий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0,35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5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0,5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Проведение анализов на онкомаркер на базе районной поликлиники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2,68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5,75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D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Снижение смертности от новообразований 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2,68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0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5,75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скрининговых исследование и флюорографических осмотров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6,1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E6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12,9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E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Выявление болезней на ранней стадии. Снижение смертности от ВИЧ и туберкулеза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5,4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11,6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0,7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F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1,3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97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Внедрение и развитие информационно-коммуникационных технологий в деятельности общедоступных библиотек путем реализации мероприятий по оснащению библиотек компьютерной техникой, компьютерными комплектующими, подключению библиотек к информационно-телекоммуникационной сети "Интернет", созданию собственных электронных ресурсов, создание виртуальных читальных залов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0,05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F5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8,848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F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числа библиотек,  подключенных к сети «Интернет»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7,736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97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0,05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FE05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0,239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60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0,873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100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и проведение межмузейных выставок, проведение выставок в музее из фондов других учреждений и частных коллекций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Не требует финансирования 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0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Повышение посещаемости музея, прирост количества выставочных проектов в музейных учреждениях </w:t>
            </w:r>
          </w:p>
        </w:tc>
      </w:tr>
      <w:tr>
        <w:trPr>
          <w:trHeight w:hRule="atLeast" w:val="735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0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Развитие библиотечного дела, повышение качества, разнообразия и доступности библиотечных услуг 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0B060000">
            <w:pPr>
              <w:widowControl w:val="1"/>
              <w:spacing w:after="0" w:line="240" w:lineRule="auto"/>
              <w:ind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</w:tcPr>
          <w:p w14:paraId="0E060000">
            <w:pPr>
              <w:widowControl w:val="1"/>
              <w:spacing w:after="0" w:line="240" w:lineRule="auto"/>
              <w:ind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0F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1,03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1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Создание современной системы библиотечного обслуживания.  </w:t>
            </w:r>
          </w:p>
        </w:tc>
      </w:tr>
      <w:tr>
        <w:trPr>
          <w:trHeight w:hRule="atLeast" w:val="495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1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Открытие «модельной библиотеки» (Барачатская СБ)</w:t>
            </w:r>
          </w:p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0,25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</w:tcPr>
          <w:p w14:paraId="16060000">
            <w:pPr>
              <w:widowControl w:val="1"/>
              <w:spacing w:after="0" w:line="240" w:lineRule="auto"/>
              <w:ind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A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0,03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1455"/>
        </w:trPr>
        <w:tc>
          <w:tcPr>
            <w:tcW w:type="dxa" w:w="3154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Развитие гастрольной фестивальной деятельности, активизация культурного обмена между территориями с целью популяризации искусства. Акция – «Культура селу», выездные мероприятия на территории района.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  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посещаемости проводимых мероприятий</w:t>
            </w:r>
          </w:p>
        </w:tc>
      </w:tr>
      <w:tr>
        <w:trPr>
          <w:trHeight w:hRule="atLeast" w:val="660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и проведение мероприятий, направленных на сохранение, возрождение и развитие народных художественных промыслов и ремесел</w:t>
            </w:r>
            <w:r>
              <w:rPr>
                <w:rFonts w:ascii="Times New Roman" w:hAnsi="Times New Roman"/>
                <w:b w:val="1"/>
                <w:color w:val="000000"/>
                <w:sz w:val="18"/>
              </w:rPr>
              <w:t xml:space="preserve">  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6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0,07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0,01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27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0,8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Возрождение народных традиций села, приобщение подрастающего поколения и различных слоев населения  к ценностям традиционной народной культуры.</w:t>
            </w:r>
          </w:p>
        </w:tc>
      </w:tr>
      <w:tr>
        <w:trPr>
          <w:trHeight w:hRule="atLeast" w:val="45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2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2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2B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0,01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2C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0,7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60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(указать)</w:t>
            </w:r>
          </w:p>
        </w:tc>
        <w:tc>
          <w:tcPr>
            <w:tcW w:type="dxa" w:w="1035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E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0,02</w:t>
            </w:r>
          </w:p>
        </w:tc>
        <w:tc>
          <w:tcPr>
            <w:tcW w:type="dxa" w:w="569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735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количества детей, привлекаемых к участию в творческих мероприятиях</w:t>
            </w:r>
          </w:p>
        </w:tc>
        <w:tc>
          <w:tcPr>
            <w:tcW w:type="dxa" w:w="107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3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3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численности детей, привлекаемых к участию в творческих мероприятиях</w:t>
            </w:r>
          </w:p>
        </w:tc>
      </w:tr>
      <w:tr>
        <w:trPr>
          <w:trHeight w:hRule="atLeast" w:val="73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профессионального мастерства сотрудников, разработка и внедрение новых форм повышение квалификации, продвижение и развитие информационных  технологий, способствующих адаптации сотрудников инновационным процессам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0,213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3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Повышение качества оказания услуг в сфере культуры </w:t>
            </w:r>
          </w:p>
        </w:tc>
      </w:tr>
      <w:tr>
        <w:trPr>
          <w:trHeight w:hRule="atLeast" w:val="108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(Предпринимательская деятельност)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2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0,213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Укрепление и развитие материально-технической базы учреждений культуры  и искусства 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8,877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0,11 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48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3,733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4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Повышение качества оказания услуг в сфере культуры 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2,59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2,951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0,61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51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0,604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0,178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49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внебюджетных фондов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4,99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5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108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(Предпринимательская деятельность)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0,647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0,11 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Оснащение современным оборудованием Борисовского СДК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3,04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63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6,25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6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оказания услуг в сфере культуры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2,49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0,51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B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6C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0,937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0,313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Оснащение современным оборудованием Перехляйского СДК 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7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оказания услуг в сфере культуры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B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30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7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Открытие 3D кинозала в РДК 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6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5,09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81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5,3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8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Увеличение  охвата населения услугами кинотеатра,  создания условий для показа национальных фильмов  </w:t>
            </w:r>
          </w:p>
        </w:tc>
      </w:tr>
      <w:tr>
        <w:trPr>
          <w:trHeight w:hRule="atLeast" w:val="315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8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пгт. Крапивинский </w:t>
            </w:r>
          </w:p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4,99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1080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8060000">
            <w:pPr>
              <w:widowControl w:val="1"/>
              <w:spacing w:after="0" w:line="240" w:lineRule="auto"/>
              <w:ind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(Предпринимательская деятельность)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B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C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0,3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Укрепление материально-технической базы учреждений культуры и искусств современным оборудованием, музыкальными инструментами, звукоусилительной и световой аппаратурой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0,65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9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оказания услуг в сфере культуры</w:t>
            </w:r>
          </w:p>
        </w:tc>
      </w:tr>
      <w:tr>
        <w:trPr>
          <w:trHeight w:hRule="atLeast" w:val="115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(предпринимательская деятельность, спонсоры )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0,65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12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Сохранение и пополнение фондов муниципальных библиотек книжными изданиями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0,01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9D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0,25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9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количества пользователей библиотек района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12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6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0,15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408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(Спонсоры, дары жителей)</w:t>
            </w:r>
          </w:p>
        </w:tc>
        <w:tc>
          <w:tcPr>
            <w:tcW w:type="dxa" w:w="1035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0,05</w:t>
            </w:r>
          </w:p>
        </w:tc>
        <w:tc>
          <w:tcPr>
            <w:tcW w:type="dxa" w:w="569"/>
            <w:vMerge w:val="restart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0,01 </w:t>
            </w:r>
          </w:p>
        </w:tc>
        <w:tc>
          <w:tcPr>
            <w:tcW w:type="dxa" w:w="945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45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3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569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945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Строительство</w:t>
            </w:r>
            <w:r>
              <w:rPr>
                <w:rFonts w:ascii="Times New Roman" w:hAnsi="Times New Roman"/>
                <w:b w:val="1"/>
                <w:color w:val="000000"/>
                <w:sz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</w:rPr>
              <w:t>Дома культуры на 200 мест по адресу: Кемеровская область, Крапивинский район, пгт. Зеленогорский, ул. Центральная 47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127,8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0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B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оказания услуг в сфере культуры, увеличение численности культурно-досуговых мероприятий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121,4 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6,4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12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B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Проведение мероприятий, направленных на формирование в молодежной среде духовно-нравственных и гуманистических ценностей, мероприятий гражданско-патриотического направления 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B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0,21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0,03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3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0,3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C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Участие молодежи в проводимых мероприятиях.</w:t>
            </w:r>
          </w:p>
        </w:tc>
      </w:tr>
      <w:tr>
        <w:trPr>
          <w:trHeight w:hRule="atLeast" w:val="12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C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(Спонсоры)</w:t>
            </w:r>
          </w:p>
        </w:tc>
        <w:tc>
          <w:tcPr>
            <w:tcW w:type="dxa" w:w="1035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C6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0,21</w:t>
            </w:r>
          </w:p>
        </w:tc>
        <w:tc>
          <w:tcPr>
            <w:tcW w:type="dxa" w:w="56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0,03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0,3</w:t>
            </w:r>
          </w:p>
        </w:tc>
        <w:tc>
          <w:tcPr>
            <w:tcW w:type="dxa" w:w="2340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Формирование гражданско-патриотического воспитания и здорового образа жизни среди молодежи </w:t>
            </w:r>
          </w:p>
        </w:tc>
      </w:tr>
      <w:tr>
        <w:trPr>
          <w:trHeight w:hRule="atLeast" w:val="975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C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Привлечение молодых людей к добровольческому труду, волонтерской деятельности, общественно полезной и социально значимой работе</w:t>
            </w:r>
          </w:p>
        </w:tc>
        <w:tc>
          <w:tcPr>
            <w:tcW w:type="dxa" w:w="107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CB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C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 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C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Привлечение молодежи к общественно-полезной деятельности, увеличение количества добровольцев </w:t>
            </w:r>
          </w:p>
        </w:tc>
      </w:tr>
      <w:tr>
        <w:trPr>
          <w:trHeight w:hRule="atLeast" w:val="73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Привлечение детей, подростков и молодежи к регулярным занятиям физкультурой и спортом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 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Повышение численности населения, систематически занимающегося спортом </w:t>
            </w:r>
          </w:p>
        </w:tc>
      </w:tr>
      <w:tr>
        <w:trPr>
          <w:trHeight w:hRule="atLeast" w:val="97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Проведение физкультурно- спортивных, оздоровительных мероприятий различного уровня 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0,02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0,16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D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Повышение численности населения, систематически занимающегося спортом 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E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12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0,07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0,01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EA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12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(Предпринимательская деятельность)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0,07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0,01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0,06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12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Оборудование рекламных мест для социальной рекламы по пропаганде спорта возле спортивных сооружений. 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0,05 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F4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0,11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Повышение численности населения, систематически занимающегося спортом </w:t>
            </w:r>
          </w:p>
        </w:tc>
      </w:tr>
      <w:tr>
        <w:trPr>
          <w:trHeight w:hRule="atLeast" w:val="12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(Предпринимательская деятельность)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0,05 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0,11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75"/>
        </w:trPr>
        <w:tc>
          <w:tcPr>
            <w:tcW w:type="dxa" w:w="10915"/>
            <w:gridSpan w:val="8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A06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Укрепление кадрового обеспечения и повышение профессионального уровня тренерско-преподавательского состава</w:t>
            </w:r>
          </w:p>
        </w:tc>
      </w:tr>
      <w:tr>
        <w:trPr>
          <w:trHeight w:hRule="atLeast" w:val="12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системы переподготовки, повышения квалификации для перспективных тренеров в центрах подготовки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6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0,07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0,01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00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подготовки спортсменов</w:t>
            </w:r>
          </w:p>
        </w:tc>
      </w:tr>
      <w:tr>
        <w:trPr>
          <w:trHeight w:hRule="atLeast" w:val="12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(Предпринимательская деятельность)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0,07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4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0,01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12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Оснащение учреждений физической культуры и спорта современным спортивным инвентарем и оборудованием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0,46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A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0,07 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0B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0,85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0C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Повышение численности населения, систематически занимающегося спортом 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F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0,32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3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14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0,5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12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0,32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7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0,05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0,2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97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(Предпринимательская деятельность)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B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0,02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C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0,15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660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Развитие инфраструктуры и благоустройства горнолыжной трассы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FF0000"/>
                <w:sz w:val="18"/>
              </w:rPr>
            </w:pPr>
            <w:r>
              <w:rPr>
                <w:rFonts w:ascii="Times New Roman" w:hAnsi="Times New Roman"/>
                <w:color w:val="FF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1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FF0000"/>
                <w:sz w:val="18"/>
              </w:rPr>
            </w:pPr>
            <w:r>
              <w:rPr>
                <w:rFonts w:ascii="Times New Roman" w:hAnsi="Times New Roman"/>
                <w:color w:val="FF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2340"/>
            <w:gridSpan w:val="2"/>
            <w:tcBorders>
              <w:top w:color="000000" w:sz="8" w:val="single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23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подготовки спортсменов,</w:t>
            </w:r>
          </w:p>
        </w:tc>
      </w:tr>
      <w:tr>
        <w:trPr>
          <w:trHeight w:hRule="atLeast" w:val="85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6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27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2340"/>
            <w:gridSpan w:val="2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28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численности населения, систематически занимающегося спортом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B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</w:tcPr>
          <w:p w14:paraId="2D070000">
            <w:pPr>
              <w:widowControl w:val="1"/>
              <w:spacing w:after="0" w:line="240" w:lineRule="auto"/>
              <w:ind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0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31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3,5</w:t>
            </w:r>
          </w:p>
        </w:tc>
        <w:tc>
          <w:tcPr>
            <w:tcW w:type="dxa" w:w="2340"/>
            <w:gridSpan w:val="2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</w:tcPr>
          <w:p w14:paraId="32070000">
            <w:pPr>
              <w:widowControl w:val="1"/>
              <w:spacing w:after="0" w:line="240" w:lineRule="auto"/>
              <w:ind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  <w:tr>
        <w:trPr>
          <w:trHeight w:hRule="atLeast" w:val="49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(указать)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5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1,5</w:t>
            </w:r>
          </w:p>
        </w:tc>
        <w:tc>
          <w:tcPr>
            <w:tcW w:type="dxa" w:w="2340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7070000">
            <w:pPr>
              <w:widowControl w:val="1"/>
              <w:spacing w:after="0" w:line="240" w:lineRule="auto"/>
              <w:ind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  <w:tr>
        <w:trPr>
          <w:trHeight w:hRule="atLeast" w:val="97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Совершенствование лыже роллерного комплекса «Разметка дорожного покрытия лыжероллерной трассы»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0,27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C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3D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2,74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3E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подготовки спортсменов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1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5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46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97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0,27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9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2,74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49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(указать)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D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E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Проектирование и строительство  биатлонного стрельбища на многофункциональном спортивном комплексе пгт.Зеленогорский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22</w:t>
            </w:r>
          </w:p>
        </w:tc>
        <w:tc>
          <w:tcPr>
            <w:tcW w:type="dxa" w:w="56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FF0000"/>
                <w:sz w:val="18"/>
              </w:rPr>
            </w:pPr>
            <w:r>
              <w:rPr>
                <w:rFonts w:ascii="Times New Roman" w:hAnsi="Times New Roman"/>
                <w:color w:val="FF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54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2,5</w:t>
            </w:r>
          </w:p>
        </w:tc>
        <w:tc>
          <w:tcPr>
            <w:tcW w:type="dxa" w:w="2340"/>
            <w:gridSpan w:val="2"/>
            <w:vMerge w:val="restart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 w14:paraId="55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FF0000"/>
                <w:sz w:val="18"/>
              </w:rPr>
            </w:pPr>
            <w:r>
              <w:rPr>
                <w:rFonts w:ascii="Times New Roman" w:hAnsi="Times New Roman"/>
                <w:color w:val="FF0000"/>
                <w:sz w:val="18"/>
              </w:rPr>
              <w:t> </w:t>
            </w:r>
            <w:r>
              <w:rPr>
                <w:rFonts w:ascii="Times New Roman" w:hAnsi="Times New Roman"/>
                <w:color w:val="000000"/>
                <w:sz w:val="18"/>
              </w:rPr>
              <w:t>Повышение качества подготовки спортсменов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</w:t>
            </w:r>
          </w:p>
        </w:tc>
        <w:tc>
          <w:tcPr>
            <w:tcW w:type="dxa" w:w="56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FF0000"/>
                <w:sz w:val="18"/>
              </w:rPr>
            </w:pPr>
            <w:r>
              <w:rPr>
                <w:rFonts w:ascii="Times New Roman" w:hAnsi="Times New Roman"/>
                <w:color w:val="FF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C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FF0000"/>
                <w:sz w:val="18"/>
              </w:rPr>
            </w:pPr>
            <w:r>
              <w:rPr>
                <w:rFonts w:ascii="Times New Roman" w:hAnsi="Times New Roman"/>
                <w:color w:val="FF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5D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0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FF0000"/>
                <w:sz w:val="18"/>
              </w:rPr>
            </w:pPr>
            <w:r>
              <w:rPr>
                <w:rFonts w:ascii="Times New Roman" w:hAnsi="Times New Roman"/>
                <w:color w:val="FF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2,5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49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(указать)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4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5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2340"/>
            <w:gridSpan w:val="2"/>
            <w:vMerge w:val="continue"/>
            <w:tcBorders>
              <w:top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607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 xml:space="preserve">Стратегическое направление: Формирование благоприятного социального климата 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707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 xml:space="preserve">Цель : Развитие системы социальной поддержки и социального обслуживания населения 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807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 xml:space="preserve">Задача: Увеличение численности семей, получающих социальные услуги </w:t>
            </w:r>
          </w:p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Информирование населения о формах обслуживания (средства массовой информации, сайт учреждения)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0,0024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D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E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0,005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оказания услуг</w:t>
            </w:r>
          </w:p>
        </w:tc>
      </w:tr>
      <w:tr>
        <w:trPr>
          <w:trHeight w:hRule="atLeast" w:val="54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0,0024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3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4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0,005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97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Привлечение некоммерческих организаций к оказанию социальных услуг семьям с детьми и граждан пожилого возраста, инвалидов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A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B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оказания услуг</w:t>
            </w:r>
          </w:p>
        </w:tc>
      </w:tr>
      <w:tr>
        <w:trPr>
          <w:trHeight w:hRule="atLeast" w:val="121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Внедрение инновационных технологий  направленных на расширение перечня социальных услуг и повышение качества услуг несовершеннолетним беременным и родившим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1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2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3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оказания услуг</w:t>
            </w:r>
          </w:p>
        </w:tc>
      </w:tr>
      <w:tr>
        <w:trPr>
          <w:trHeight w:hRule="atLeast" w:val="97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Профессиональное обучение специалистов современным технологиям ранней помощи семьям с детьми находящимся в кризисной ситуации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9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A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B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оказания услуг</w:t>
            </w:r>
          </w:p>
        </w:tc>
      </w:tr>
      <w:tr>
        <w:trPr>
          <w:trHeight w:hRule="atLeast" w:val="720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социальных клубов для пожилых граждан и семей с детьми</w:t>
            </w:r>
          </w:p>
        </w:tc>
        <w:tc>
          <w:tcPr>
            <w:tcW w:type="dxa" w:w="107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8F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</w:t>
            </w:r>
          </w:p>
        </w:tc>
        <w:tc>
          <w:tcPr>
            <w:tcW w:type="dxa" w:w="1798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vMerge w:val="restart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1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569"/>
            <w:vMerge w:val="restart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2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vMerge w:val="restart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307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73"/>
            <w:vMerge w:val="restart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7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95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досуговых мероприятий</w:t>
            </w:r>
          </w:p>
        </w:tc>
      </w:tr>
      <w:tr>
        <w:trPr>
          <w:trHeight w:hRule="atLeast" w:val="49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2035</w:t>
            </w:r>
          </w:p>
        </w:tc>
        <w:tc>
          <w:tcPr>
            <w:tcW w:type="dxa" w:w="1798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3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569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945"/>
            <w:gridSpan w:val="1"/>
            <w:vMerge w:val="continue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573"/>
            <w:gridSpan w:val="1"/>
            <w:vMerge w:val="continue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качества оказания услуг</w:t>
            </w:r>
          </w:p>
        </w:tc>
      </w:tr>
      <w:tr>
        <w:trPr>
          <w:trHeight w:hRule="atLeast" w:val="49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Открытие отделения социальной помощи семьям с детьми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2030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C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D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Расширение спектра социальных услуг</w:t>
            </w:r>
          </w:p>
        </w:tc>
      </w:tr>
      <w:tr>
        <w:trPr>
          <w:trHeight w:hRule="atLeast" w:val="52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007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Модернизация учреждений социального обслуживания с целью более эффективного использования ресурсов, обеспечивающих их деятельность</w:t>
            </w:r>
          </w:p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Проведение мероприятий по энергосбережению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0,89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5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6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39,865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Экономия энергоресурсов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0,79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B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C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37,315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0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1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2,55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Текущий и капитальный ремонт помещений, модернизация отделений                                                в т.ч.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0,83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7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8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2,68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Экономия энергоресурсов, повышение качества оказания социальных услуг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0,68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D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E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37,315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2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3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СРЦ Крапивинского района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0,18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9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A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32,535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0,18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F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0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32,535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КЦСОН Крапивинского района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0,65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6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7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4,6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C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D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4,6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Собственные доходы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1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2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407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 xml:space="preserve">Стратегическое направление: Рост качества среды жизнедеятельности 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507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 xml:space="preserve">Цель: Развитие территориального планирования </w:t>
            </w:r>
          </w:p>
        </w:tc>
      </w:tr>
      <w:tr>
        <w:trPr>
          <w:trHeight w:hRule="atLeast" w:val="900"/>
        </w:trPr>
        <w:tc>
          <w:tcPr>
            <w:tcW w:type="dxa" w:w="10915"/>
            <w:gridSpan w:val="8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607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Доработка генеральных планов застройки территорий с учетом экологических, экономических, производственных, социальных и иных факторов, в том числе учитывающих создание мест парковок автомобилей, а также благоустройство придомовых территорий, позволяющих обеспечить проезд транспортных средств</w:t>
            </w:r>
          </w:p>
        </w:tc>
      </w:tr>
      <w:tr>
        <w:trPr>
          <w:trHeight w:hRule="atLeast" w:val="960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Внесение изменений в документы территориального планирования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2019</w:t>
            </w:r>
          </w:p>
        </w:tc>
        <w:tc>
          <w:tcPr>
            <w:tcW w:type="dxa" w:w="1798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3,3</w:t>
            </w:r>
          </w:p>
        </w:tc>
        <w:tc>
          <w:tcPr>
            <w:tcW w:type="dxa" w:w="569"/>
            <w:vMerge w:val="restart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B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vMerge w:val="restart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C07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73"/>
            <w:vMerge w:val="restart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7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EE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1. актуализация генеральных  планов 11 муниципальных образований района; </w:t>
            </w:r>
          </w:p>
        </w:tc>
      </w:tr>
      <w:tr>
        <w:trPr>
          <w:trHeight w:hRule="atLeast" w:val="264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3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569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945"/>
            <w:gridSpan w:val="1"/>
            <w:vMerge w:val="continue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573"/>
            <w:gridSpan w:val="1"/>
            <w:vMerge w:val="continue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67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EF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2. разработка проектов межевания территорий общего пользования населенных пунктов, с целью установления красных линий в 33 населенных пунктах Крапивинского муниципального района;</w:t>
            </w:r>
          </w:p>
        </w:tc>
      </w:tr>
      <w:tr>
        <w:trPr>
          <w:trHeight w:hRule="atLeast" w:val="193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3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569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945"/>
            <w:gridSpan w:val="1"/>
            <w:vMerge w:val="continue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573"/>
            <w:gridSpan w:val="1"/>
            <w:vMerge w:val="continue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67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F0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3. актуализация правил землепользования и застройки 11 муниципальных образований Крапивинского района;</w:t>
            </w:r>
          </w:p>
        </w:tc>
      </w:tr>
      <w:tr>
        <w:trPr>
          <w:trHeight w:hRule="atLeast" w:val="145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3,3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3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4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4. актуализация схемы территориального планирования Крапивинского муниципального района.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707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Цель: Развитие инфраструктуры жилищно-коммунального хозяйства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807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Модернизация объектов коммунальной инфраструктуры</w:t>
            </w:r>
          </w:p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Капитальный ремонт и реконструкция объектов теплоснабжения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66,5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D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E07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53,6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7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Снижение издержек в сфере теплоснабжения и обеспечение населения жилищно-коммунальными услугами надлежащего качества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10,5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3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4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33,5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8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9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32,5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73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(средства концессионера)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22,5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D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E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21,1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i w:val="1"/>
                <w:color w:val="000000"/>
                <w:sz w:val="18"/>
              </w:rPr>
            </w:pPr>
            <w:r>
              <w:rPr>
                <w:rFonts w:ascii="Times New Roman" w:hAnsi="Times New Roman"/>
                <w:i w:val="1"/>
                <w:color w:val="000000"/>
                <w:sz w:val="18"/>
              </w:rPr>
              <w:t>Реконструкция, модернизация тепловых сетей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21,4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4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5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15,3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Снижение издержек в сфере теплоснабжения и обеспечение населения жилищно-коммунальными услугами надлежащего качества</w:t>
            </w:r>
          </w:p>
        </w:tc>
      </w:tr>
      <w:tr>
        <w:trPr>
          <w:trHeight w:hRule="atLeast" w:val="43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A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i w:val="1"/>
                <w:color w:val="000000"/>
                <w:sz w:val="18"/>
              </w:rPr>
            </w:pPr>
            <w:r>
              <w:rPr>
                <w:rFonts w:ascii="Times New Roman" w:hAnsi="Times New Roman"/>
                <w:i w:val="1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B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i w:val="1"/>
                <w:color w:val="000000"/>
                <w:sz w:val="18"/>
              </w:rPr>
            </w:pPr>
            <w:r>
              <w:rPr>
                <w:rFonts w:ascii="Times New Roman" w:hAnsi="Times New Roman"/>
                <w:i w:val="1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i w:val="1"/>
                <w:color w:val="000000"/>
                <w:sz w:val="18"/>
              </w:rPr>
            </w:pPr>
            <w:r>
              <w:rPr>
                <w:rFonts w:ascii="Times New Roman" w:hAnsi="Times New Roman"/>
                <w:i w:val="1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99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(средства концессионера)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18,4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F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0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15,3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i w:val="1"/>
                <w:color w:val="000000"/>
                <w:sz w:val="18"/>
              </w:rPr>
            </w:pPr>
            <w:r>
              <w:rPr>
                <w:rFonts w:ascii="Times New Roman" w:hAnsi="Times New Roman"/>
                <w:i w:val="1"/>
                <w:color w:val="000000"/>
                <w:sz w:val="18"/>
              </w:rPr>
              <w:t>Реконструкция и модернизация котельных и оборудования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45,1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6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7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38,3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Снижение издержек в сфере теплоснабжения и обеспечение населения жилищно-коммунальными услугами надлежащего качества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10,5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C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D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30,5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1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2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32,5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73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(средства концессионера)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4,1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6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7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5,8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810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Строительство, капитальный ремонт и реконструкция объектов систем водоснабжения и водоотведения 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584,03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D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E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965,798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Обеспечение граждан Крапивинского района водой питьевого качества от </w:t>
            </w:r>
            <w:r>
              <w:rPr>
                <w:rFonts w:ascii="Times New Roman" w:hAnsi="Times New Roman"/>
                <w:color w:val="000000"/>
                <w:sz w:val="18"/>
              </w:rPr>
              <w:t>централизованных источников водоснабжения, снижение потерь в сфере водоснабжения, водоотведения, достижение качества очистки сточных вод в соответствии с действующими нормативами и улучшение экологической обстановки</w:t>
            </w:r>
          </w:p>
        </w:tc>
      </w:tr>
      <w:tr>
        <w:trPr>
          <w:trHeight w:hRule="atLeast" w:val="52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467,2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3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4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432,322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58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75,27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8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9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518,181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57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41,56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D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E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15,295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43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2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3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147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(указать)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7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8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735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5A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Реализация проекта «Водоснабжение пгт Крапивинский, Кемеровской области от водозабора 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i w:val="1"/>
                <w:color w:val="000000"/>
                <w:sz w:val="18"/>
              </w:rPr>
            </w:pPr>
            <w:r>
              <w:rPr>
                <w:rFonts w:ascii="Times New Roman" w:hAnsi="Times New Roman"/>
                <w:i w:val="1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552,53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E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F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393,99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населения пгт.Крапивинский питьевой водой, соответствующей санитарным нормам и правилам</w:t>
            </w:r>
          </w:p>
        </w:tc>
      </w:tr>
      <w:tr>
        <w:trPr>
          <w:trHeight w:hRule="atLeast" w:val="735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62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пгт Зеленогорский. Наружные сети водоснабжения пгт Крапивинский, Крапивинский муниципальный район</w:t>
            </w:r>
          </w:p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467,2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5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6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370,35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68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75,27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B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C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23,64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E080000">
            <w:pPr>
              <w:widowControl w:val="1"/>
              <w:spacing w:after="0" w:line="240" w:lineRule="auto"/>
              <w:ind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10,06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1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2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i w:val="1"/>
                <w:color w:val="000000"/>
                <w:sz w:val="18"/>
              </w:rPr>
            </w:pPr>
            <w:r>
              <w:rPr>
                <w:rFonts w:ascii="Times New Roman" w:hAnsi="Times New Roman"/>
                <w:i w:val="1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i w:val="1"/>
                <w:color w:val="000000"/>
                <w:sz w:val="18"/>
              </w:rPr>
            </w:pPr>
            <w:r>
              <w:rPr>
                <w:rFonts w:ascii="Times New Roman" w:hAnsi="Times New Roman"/>
                <w:i w:val="1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Капитальный ремонт и реконструкция объектов систем водоснабжения и водоотведения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8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31,5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8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9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571,808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E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F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61,972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3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4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494,541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31,5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8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9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15,295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52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Проведение капитального ремонта воздушных линий электропередач, ремонт трансформаторных подстанций в рамках инвестиционной программы предприятий электроснабжения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i w:val="1"/>
                <w:color w:val="000000"/>
                <w:sz w:val="18"/>
              </w:rPr>
            </w:pPr>
            <w:r>
              <w:rPr>
                <w:rFonts w:ascii="Times New Roman" w:hAnsi="Times New Roman"/>
                <w:i w:val="1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44,3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F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0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63,5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населения жилищно-коммунальными услугами надлежащего качества, снижение потерь в сфере электроснабжения</w:t>
            </w:r>
          </w:p>
        </w:tc>
      </w:tr>
      <w:tr>
        <w:trPr>
          <w:trHeight w:hRule="atLeast" w:val="123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41,9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5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6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63,5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808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Развитие муниципально-частного партнерства в сфере ЖКХ</w:t>
            </w:r>
          </w:p>
        </w:tc>
      </w:tr>
      <w:tr>
        <w:trPr>
          <w:trHeight w:hRule="atLeast" w:val="31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Передача объектов ЖКХ в концессию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D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E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108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Цель: Развитие жилищного хозяйства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208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Обеспечение населения района доступным и комфортным жильем</w:t>
            </w:r>
          </w:p>
        </w:tc>
      </w:tr>
      <w:tr>
        <w:trPr>
          <w:trHeight w:hRule="atLeast" w:val="73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Строительство многоквартирных жилых домов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404,515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7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8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548,306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AA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обеспеченности жильем:</w:t>
            </w:r>
          </w:p>
        </w:tc>
      </w:tr>
      <w:tr>
        <w:trPr>
          <w:trHeight w:hRule="atLeast" w:val="97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164,225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D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E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222,88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B0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1) увеличение ежегодного объема ввода жилья к 2035 году в 1,2 раза;</w:t>
            </w:r>
          </w:p>
        </w:tc>
      </w:tr>
      <w:tr>
        <w:trPr>
          <w:trHeight w:hRule="atLeast" w:val="12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239,43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3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4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324,261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B6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2) ликвидация аварийного жилищного фонда, переселение граждан из аварийного жилья;</w:t>
            </w:r>
          </w:p>
        </w:tc>
      </w:tr>
      <w:tr>
        <w:trPr>
          <w:trHeight w:hRule="atLeast" w:val="97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0,86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9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A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1,165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BC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3) ликвидация очередности по социальным программам;</w:t>
            </w:r>
          </w:p>
        </w:tc>
      </w:tr>
      <w:tr>
        <w:trPr>
          <w:trHeight w:hRule="atLeast" w:val="169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F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0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C2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4) увеличение показателя: ввод в действие жилых домов за год на 1 жителя с 0,13 м²/чел. в 2018 году до 0,3 м²/чел. к 2035 году ;</w:t>
            </w:r>
          </w:p>
        </w:tc>
      </w:tr>
      <w:tr>
        <w:trPr>
          <w:trHeight w:hRule="atLeast" w:val="169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(указать)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5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6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80000">
            <w:pPr>
              <w:widowControl w:val="1"/>
              <w:spacing w:after="0" w:line="240" w:lineRule="auto"/>
              <w:ind/>
              <w:rPr>
                <w:rFonts w:ascii="Calibri" w:hAnsi="Calibri"/>
                <w:color w:val="000000"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 xml:space="preserve">5) </w:t>
            </w:r>
            <w:r>
              <w:rPr>
                <w:rFonts w:ascii="Times New Roman" w:hAnsi="Times New Roman"/>
                <w:color w:val="000000"/>
                <w:sz w:val="18"/>
              </w:rPr>
              <w:t>Увеличение показателя обеспеченности населения жилой площадью с 22,8 м² в 2018 году до 25,1 м² к 2035 году</w:t>
            </w:r>
            <w:r>
              <w:rPr>
                <w:rFonts w:ascii="Calibri" w:hAnsi="Calibri"/>
                <w:color w:val="000000"/>
                <w:sz w:val="18"/>
              </w:rPr>
              <w:t>.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908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Модернизация жилого фонда</w:t>
            </w:r>
          </w:p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Капитальный ремонт жилого фонда, в том числе замена лифтов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156,3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E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F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460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Улучшение качества условий проживания граждан</w:t>
            </w:r>
          </w:p>
        </w:tc>
      </w:tr>
      <w:tr>
        <w:trPr>
          <w:trHeight w:hRule="atLeast" w:val="49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 (взносы собственников)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156,3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4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5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460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Благоустройство дворовых территорий многоквартирных домов пгт.Зеленогорский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A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12,7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B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C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32,218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Повышение комфортности проживания жителей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8,5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1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2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19,81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6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7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4,793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0,6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B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C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6,415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0,6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0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1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Строительство парка Победы в пгт.Крапивинский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2018-2019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7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8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10,521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D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E08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7,74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8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2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3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1,164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7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8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1,617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средства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C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D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Установка детских игровых (спортивных) площадок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3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4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89,5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A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B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0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1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4,5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309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Цель: Развитие дорожного транспорта, дорожной инфраструктуры и связи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409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Модернизация и развитие сети автомобильных дорог местного значения</w:t>
            </w:r>
          </w:p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Строительство новых автодорог с асфальтовым покрытием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8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739,2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9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A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573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2B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протяженности автомобильных дорог, отвечающих нормативным требованиям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E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554,4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F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bottom"/>
          </w:tcPr>
          <w:p w14:paraId="30090000">
            <w:pPr>
              <w:widowControl w:val="1"/>
              <w:spacing w:after="0" w:line="240" w:lineRule="auto"/>
              <w:ind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3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3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147,84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4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5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573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6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58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8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36,96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9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bottom"/>
          </w:tcPr>
          <w:p w14:paraId="3A090000">
            <w:pPr>
              <w:widowControl w:val="1"/>
              <w:spacing w:after="0" w:line="240" w:lineRule="auto"/>
              <w:ind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3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Устройство асфальтового покрытия автодороги до с.Банново, протяженностью 34 км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F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285,6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0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1090000">
            <w:pPr>
              <w:widowControl w:val="1"/>
              <w:spacing w:after="0" w:line="240" w:lineRule="auto"/>
              <w:ind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type="dxa" w:w="573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2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Соответствие доли протяженности дорожной сети, соответствующих нормативным требованиям к их транспортно-эксплуатационному состоянию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5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214,2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6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bottom"/>
          </w:tcPr>
          <w:p w14:paraId="47090000">
            <w:pPr>
              <w:widowControl w:val="1"/>
              <w:spacing w:after="0" w:line="240" w:lineRule="auto"/>
              <w:ind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3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A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57,12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B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C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573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4D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145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F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14,28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0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bottom"/>
          </w:tcPr>
          <w:p w14:paraId="51090000">
            <w:pPr>
              <w:widowControl w:val="1"/>
              <w:spacing w:after="0" w:line="240" w:lineRule="auto"/>
              <w:ind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3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Строительство автодороги с асфальтовым покрытием протяженностью 54 км до с.Каменка, с.Междугорное, с.Поперечное 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6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453,6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7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8090000">
            <w:pPr>
              <w:widowControl w:val="1"/>
              <w:spacing w:after="0" w:line="240" w:lineRule="auto"/>
              <w:ind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type="dxa" w:w="573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59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Соответствие доли протяженности дорожной сети, соответствующих </w:t>
            </w:r>
            <w:r>
              <w:rPr>
                <w:rFonts w:ascii="Times New Roman" w:hAnsi="Times New Roman"/>
                <w:color w:val="000000"/>
                <w:sz w:val="18"/>
              </w:rPr>
              <w:t>нормативным требованиям к их транспортно-эксплуатационному состоянию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C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340,2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D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bottom"/>
          </w:tcPr>
          <w:p w14:paraId="5E090000">
            <w:pPr>
              <w:widowControl w:val="1"/>
              <w:spacing w:after="0" w:line="240" w:lineRule="auto"/>
              <w:ind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3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1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90,72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2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3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573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64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124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6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22,68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7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color="000000" w:sz="8" w:val="single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bottom"/>
          </w:tcPr>
          <w:p w14:paraId="68090000">
            <w:pPr>
              <w:widowControl w:val="1"/>
              <w:spacing w:after="0" w:line="240" w:lineRule="auto"/>
              <w:ind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3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Капитальный ремонт дорожного покрытия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576,75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E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F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265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протяженности автомобильных дорог, отвечающих нормативным требованиям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4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5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9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A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6,75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E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F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3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4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185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609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Улучшение качества транспортных услуг, оказываемых предприятием общественного транспорта</w:t>
            </w:r>
          </w:p>
        </w:tc>
      </w:tr>
      <w:tr>
        <w:trPr>
          <w:trHeight w:hRule="atLeast" w:val="97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Обновление автобусного парка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B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C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329,1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Улучшение качества транспортного обслуживания населения</w:t>
            </w:r>
          </w:p>
        </w:tc>
      </w:tr>
      <w:tr>
        <w:trPr>
          <w:trHeight w:hRule="atLeast" w:val="300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8F09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Задачи:</w:t>
            </w:r>
          </w:p>
        </w:tc>
      </w:tr>
      <w:tr>
        <w:trPr>
          <w:trHeight w:hRule="atLeast" w:val="300"/>
        </w:trPr>
        <w:tc>
          <w:tcPr>
            <w:tcW w:type="dxa" w:w="10915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9009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Сокращение разрыва в развитии информационно-телекоммуникационной структуры территорий района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109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Повышение доступности для населения, организаций района информационно-коммуникационных услуг</w:t>
            </w:r>
          </w:p>
        </w:tc>
      </w:tr>
      <w:tr>
        <w:trPr>
          <w:trHeight w:hRule="atLeast" w:val="49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Строительство волоконно-оптической линии связи 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8,6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6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7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6,5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73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Пгт.Крапивинский (ул.Островского, ул. Энергетиков, ул.Лесозаводская)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0,6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E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F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0,7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Ввод 2 км линии оптоволоконной связи</w:t>
            </w:r>
          </w:p>
        </w:tc>
      </w:tr>
      <w:tr>
        <w:trPr>
          <w:trHeight w:hRule="atLeast" w:val="73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п.Каменный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1,2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6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7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1,3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Ввод 5 км линии оптоволоконной связи</w:t>
            </w:r>
          </w:p>
        </w:tc>
      </w:tr>
      <w:tr>
        <w:trPr>
          <w:trHeight w:hRule="atLeast" w:val="31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д.Шевели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E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F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73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с.Тараданово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2019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1,3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6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7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Ввод 5,5 км линии оптоволоконной связи</w:t>
            </w:r>
          </w:p>
        </w:tc>
      </w:tr>
      <w:tr>
        <w:trPr>
          <w:trHeight w:hRule="atLeast" w:val="73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с.Барачаты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2019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E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F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Ввод 6 км линии оптоволоконной связи</w:t>
            </w:r>
          </w:p>
        </w:tc>
      </w:tr>
      <w:tr>
        <w:trPr>
          <w:trHeight w:hRule="atLeast" w:val="31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с.Банново, п.Перехляй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2019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Средства собственника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2,5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6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7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540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A09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Повышение качества и доступности предоставляемых гражданам и организациям государственных и муниципальных услуг на основе использования информационных и коммуникационных технологий</w:t>
            </w:r>
          </w:p>
        </w:tc>
      </w:tr>
      <w:tr>
        <w:trPr>
          <w:trHeight w:hRule="atLeast" w:val="97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Развитие механизмов оказания государственных услуг на базе МФЦ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F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0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Улучшение качества предоставления государственных и муниципальных услуг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309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Дальнейшее развитие цифрового телевидения на территории района</w:t>
            </w:r>
          </w:p>
        </w:tc>
      </w:tr>
      <w:tr>
        <w:trPr>
          <w:trHeight w:hRule="atLeast" w:val="300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Запуск эфирного вещания пакета цифровых телеканалов РТРС-2 (второй мультиплекс)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</w:t>
            </w:r>
          </w:p>
        </w:tc>
        <w:tc>
          <w:tcPr>
            <w:tcW w:type="dxa" w:w="1798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vMerge w:val="restart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8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518"/>
            <w:gridSpan w:val="2"/>
            <w:vMerge w:val="restart"/>
            <w:tcBorders>
              <w:top w:color="000000" w:sz="8" w:val="single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D9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жителей бесперебойным, многоканальным и доступным телерадиовещанием</w:t>
            </w:r>
          </w:p>
        </w:tc>
      </w:tr>
      <w:tr>
        <w:trPr>
          <w:trHeight w:hRule="atLeast" w:val="99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3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569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1518"/>
            <w:gridSpan w:val="2"/>
            <w:vMerge w:val="continue"/>
            <w:tcBorders>
              <w:top w:color="000000" w:sz="8" w:val="single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B09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Цель: Улучшение состояния окружающей среды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C09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Совершенствование системы управления в сфере обращения с отходами производства и потребления</w:t>
            </w:r>
          </w:p>
        </w:tc>
      </w:tr>
      <w:tr>
        <w:trPr>
          <w:trHeight w:hRule="atLeast" w:val="73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Ликвидация несанкционированных объектов размещения отходов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1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2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1,039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Улучшение экологической ситуации</w:t>
            </w:r>
          </w:p>
        </w:tc>
      </w:tr>
      <w:tr>
        <w:trPr>
          <w:trHeight w:hRule="atLeast" w:val="145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Рекультивация полигона  ТКО пгт. Зеленогорский Крапивинского района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78,7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9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A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Ликвидация действующего полигона ТКО, не соответствующего нормативным требованиям</w:t>
            </w:r>
          </w:p>
        </w:tc>
      </w:tr>
      <w:tr>
        <w:trPr>
          <w:trHeight w:hRule="atLeast" w:val="2310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Проектирование и реконструкция канализационного коллектора пгт. Крапивинский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???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160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1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2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Достижение качества очистки сточных вод в соответствии с действующими нормативами и улучшение экологической обстановки.</w:t>
            </w:r>
          </w:p>
        </w:tc>
      </w:tr>
      <w:tr>
        <w:trPr>
          <w:trHeight w:hRule="atLeast" w:val="2310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Проектирование и реконструкция  очистных сооружений пгт. Крапивинский Крапивинского района 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???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9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9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A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Достижение качества очистки сточных вод в соответствии с действующими нормативами и улучшение экологической обстановки.</w:t>
            </w:r>
          </w:p>
        </w:tc>
      </w:tr>
      <w:tr>
        <w:trPr>
          <w:trHeight w:hRule="atLeast" w:val="97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Мониторинг объектов, являющихся источниками загрязнения окружающей среды, вредных и опасных факторов (выбросов, сбросов)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9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1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2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Улучшение экологической ситуации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50A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Пропаганда экологических знаний и формирование экологической культуры</w:t>
            </w:r>
          </w:p>
        </w:tc>
      </w:tr>
      <w:tr>
        <w:trPr>
          <w:trHeight w:hRule="atLeast" w:val="145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Привлечение граждан, общественных объединений, некоммерческих организаций и бизнес-сообщества к решению вопросов в области охраны окружающей среды и обеспечения экологической безопасности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A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518"/>
            <w:gridSpan w:val="2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B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D0A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Цель: Обеспечение общественной безопасности и правопорядка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E0A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Профилактика преступлений, в том числе совершенных несовершеннолетними и в отношении несовершеннолетних</w:t>
            </w:r>
          </w:p>
        </w:tc>
      </w:tr>
      <w:tr>
        <w:trPr>
          <w:trHeight w:hRule="atLeast" w:val="73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Установка  системы видеонаблюдения на многоквартирных домах пгт. Зеленогорский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3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4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Снижение уличной преступности</w:t>
            </w:r>
          </w:p>
        </w:tc>
      </w:tr>
      <w:tr>
        <w:trPr>
          <w:trHeight w:hRule="atLeast" w:val="121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Адресная работа с лицами, стоящими на профилактическом учете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B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518"/>
            <w:gridSpan w:val="2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C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Снижение числа преступлений и  правонарушений, совершенных несовершеннолетними</w:t>
            </w:r>
          </w:p>
        </w:tc>
      </w:tr>
      <w:tr>
        <w:trPr>
          <w:trHeight w:hRule="atLeast" w:val="97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Разработка и распространение среди населения памяток о порядке действий при совершении в отношении них противоправных действий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2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518"/>
            <w:gridSpan w:val="2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3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97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Патрулирование добровольными народными дружинами в вечернее время улиц, парков, скверов на территории района 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9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518"/>
            <w:gridSpan w:val="2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A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Снижение уличной преступности </w:t>
            </w:r>
          </w:p>
        </w:tc>
      </w:tr>
      <w:tr>
        <w:trPr>
          <w:trHeight w:hRule="atLeast" w:val="49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Увеличение численности добровольных народных дружинников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0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518"/>
            <w:gridSpan w:val="2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1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Снижение преступности в быту</w:t>
            </w:r>
          </w:p>
        </w:tc>
      </w:tr>
      <w:tr>
        <w:trPr>
          <w:trHeight w:hRule="atLeast" w:val="121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Проведение классных часов и бесед профилактической направленности, тематических видеоуроков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7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518"/>
            <w:gridSpan w:val="2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8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Снижение числа преступлений и  правонарушений, совершенных несовершеннолетними</w:t>
            </w:r>
          </w:p>
        </w:tc>
      </w:tr>
      <w:tr>
        <w:trPr>
          <w:trHeight w:hRule="atLeast" w:val="121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Проведение антитеррористических акций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E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518"/>
            <w:gridSpan w:val="2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F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Снижение числа преступлений и  правонарушений, совершенных несовершеннолетними</w:t>
            </w:r>
          </w:p>
        </w:tc>
      </w:tr>
      <w:tr>
        <w:trPr>
          <w:trHeight w:hRule="atLeast" w:val="121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Проведение Дней правовой грамотности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5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518"/>
            <w:gridSpan w:val="2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6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Снижение числа преступлений и  правонарушений, совершенных несовершеннолетними</w:t>
            </w:r>
          </w:p>
        </w:tc>
      </w:tr>
      <w:tr>
        <w:trPr>
          <w:trHeight w:hRule="atLeast" w:val="121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Проведение акций «Телефон доверия»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C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518"/>
            <w:gridSpan w:val="2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D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Снижение числа преступлений и  правонарушений, совершенных несовершеннолетними</w:t>
            </w:r>
          </w:p>
        </w:tc>
      </w:tr>
      <w:tr>
        <w:trPr>
          <w:trHeight w:hRule="atLeast" w:val="1440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многодневных походов, спортивных мероприятий, оборонно-спортивных игр для молодежи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vMerge w:val="restart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3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518"/>
            <w:gridSpan w:val="2"/>
            <w:vMerge w:val="restart"/>
            <w:tcBorders>
              <w:top w:color="000000" w:sz="8" w:val="single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54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55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досуга молодежи и подростков. Формирование здорового образа жизни</w:t>
            </w:r>
          </w:p>
        </w:tc>
      </w:tr>
      <w:tr>
        <w:trPr>
          <w:trHeight w:hRule="atLeast" w:val="73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3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569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1518"/>
            <w:gridSpan w:val="2"/>
            <w:vMerge w:val="continue"/>
            <w:tcBorders>
              <w:top w:color="000000" w:sz="8" w:val="single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Воспитание патриотизма у молодежи</w:t>
            </w:r>
          </w:p>
        </w:tc>
      </w:tr>
      <w:tr>
        <w:trPr>
          <w:trHeight w:hRule="atLeast" w:val="480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57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Организация трудовых молодежных бригад 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98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vMerge w:val="restart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5B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518"/>
            <w:gridSpan w:val="2"/>
            <w:vMerge w:val="restart"/>
            <w:tcBorders>
              <w:top w:color="000000" w:sz="8" w:val="single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5C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досуга молодежи и подростков.</w:t>
            </w:r>
          </w:p>
        </w:tc>
      </w:tr>
      <w:tr>
        <w:trPr>
          <w:trHeight w:hRule="atLeast" w:val="49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14-17 лет, временная занятость подростков</w:t>
            </w:r>
          </w:p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35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569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1518"/>
            <w:gridSpan w:val="2"/>
            <w:vMerge w:val="continue"/>
            <w:tcBorders>
              <w:top w:color="000000" w:sz="8" w:val="single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73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Проведение недели толерантности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3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518"/>
            <w:gridSpan w:val="2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4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Воспитание патриотизма у молодежи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60A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Противодействие незаконному обороту алкогольной продукции и наркотических средств</w:t>
            </w:r>
          </w:p>
        </w:tc>
      </w:tr>
      <w:tr>
        <w:trPr>
          <w:trHeight w:hRule="atLeast" w:val="145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Реализация мер, направленных на пресечение ввоза и оборота на территории  района нелегально изготовленной алкогольной продукции и иных суррогатов спирта и спиртных напитков домашней выработки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B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C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Снижение уличной преступности и преступлений, совершенных на бытовой почве</w:t>
            </w:r>
          </w:p>
        </w:tc>
      </w:tr>
      <w:tr>
        <w:trPr>
          <w:trHeight w:hRule="atLeast" w:val="121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Уничтожение на территории Крапивинского муниципального района наркосодержащих растений, используемых для незаконного производства наркотиков.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Местный бюджет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140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3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4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200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Снижение количества преступлений и  правонарушений</w:t>
            </w:r>
          </w:p>
        </w:tc>
      </w:tr>
      <w:tr>
        <w:trPr>
          <w:trHeight w:hRule="atLeast" w:val="145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Публикация в средствах массовой информации материалов, направленных на противодействие злоупотреблению наркотиками и психотропными веществами.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B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518"/>
            <w:gridSpan w:val="2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C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информационной грамотности. Снижение числа преступлений и  правонарушений</w:t>
            </w:r>
          </w:p>
        </w:tc>
      </w:tr>
      <w:tr>
        <w:trPr>
          <w:trHeight w:hRule="atLeast" w:val="121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антинаркотических мероприятий в период летнего отдыха подростков из малообеспеченных, многодетных семей.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2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518"/>
            <w:gridSpan w:val="2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3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Снижение числа преступлений и  правонарушений, совершенных несовершеннолетними</w:t>
            </w:r>
          </w:p>
        </w:tc>
      </w:tr>
      <w:tr>
        <w:trPr>
          <w:trHeight w:hRule="atLeast" w:val="1935"/>
        </w:trPr>
        <w:tc>
          <w:tcPr>
            <w:tcW w:type="dxa" w:w="315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Разработка, тиражирование и распространение информационно – образовательных материалов для различных целевых групп: подростков, молодежи – по первичной профилактике ВИЧ-инфекции как последствия потребления инъекционных наркотиков и другие.</w:t>
            </w:r>
          </w:p>
        </w:tc>
        <w:tc>
          <w:tcPr>
            <w:tcW w:type="dxa" w:w="107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Не требует финансирования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9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518"/>
            <w:gridSpan w:val="2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A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Повышение информационной грамотности. Снижение числа преступлений и  правонарушений</w:t>
            </w:r>
          </w:p>
        </w:tc>
      </w:tr>
      <w:tr>
        <w:trPr>
          <w:trHeight w:hRule="atLeast" w:val="315"/>
        </w:trPr>
        <w:tc>
          <w:tcPr>
            <w:tcW w:type="dxa" w:w="10915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C0A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Задача: Обеспечение условий безопасности жизнедеятельности населения</w:t>
            </w:r>
          </w:p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Реконструкция автоматизированной системы централизованного оповещения  и создание комплексной системы экстренного оповещения населения об угрозе возникновения или о возникновении чрезвычайных ситуаций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1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2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своевременного доведение информации и сигналов оповещения</w:t>
            </w:r>
          </w:p>
        </w:tc>
      </w:tr>
      <w:tr>
        <w:trPr>
          <w:trHeight w:hRule="atLeast" w:val="90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7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8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Содержание системы вызова экстренных оперативных служб по единому номеру «112» (канал связи)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2018-2035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E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F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Ускорение реагирования и улучшения взаимодействия экстренных оперативных служб при вызовах (сообщениях о происшествиях)</w:t>
            </w:r>
          </w:p>
        </w:tc>
      </w:tr>
      <w:tr>
        <w:trPr>
          <w:trHeight w:hRule="atLeast" w:val="210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1,5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4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5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Реконструкция оперативного зала ЕДДС из расчёта площади не менее 24 м2, с учётом размещения в нём 4-х автоматизированных рабочих мест (для оперативного дежурного, оператора-112, начальника ЕДДС, председателя КЧС и ОПБ – главы муниципального образования).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2018-2019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B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C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Доведение ЕДДС до требований</w:t>
            </w:r>
          </w:p>
        </w:tc>
      </w:tr>
      <w:tr>
        <w:trPr>
          <w:trHeight w:hRule="atLeast" w:val="162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1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2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Приобретение метеостанции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2018-2019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0,015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8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9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Доведение ЕДДС до требований</w:t>
            </w:r>
          </w:p>
        </w:tc>
      </w:tr>
      <w:tr>
        <w:trPr>
          <w:trHeight w:hRule="atLeast" w:val="31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0,015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E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F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Оснащение ЕДДС бесшовной видео стеной с выведением на неё информации, как в виде единого изображения, так и с возможностью разделения его на сегменты, с обеспечением обзора с рабочего места каждого специалиста ЕДДС.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2018-2024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5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6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Доведение ЕДДС до требований</w:t>
            </w:r>
          </w:p>
        </w:tc>
      </w:tr>
      <w:tr>
        <w:trPr>
          <w:trHeight w:hRule="atLeast" w:val="135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B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C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Оснащение ЕДДС стационарной КВ радиостанцией, организация радиосвязи с оперативными службами района, ЕДДС соседних муниципальных образований, ЦУКС ГУ МЧС России по Кемеровской области.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2018-2024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2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3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Доведение ЕДДС до требований</w:t>
            </w:r>
          </w:p>
        </w:tc>
      </w:tr>
      <w:tr>
        <w:trPr>
          <w:trHeight w:hRule="atLeast" w:val="1110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8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9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3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Оснащение прибором радиационно-химического наблюдения, оборудованием для хранения, обработки и передачи данных (сетевого хранилища).</w:t>
            </w:r>
          </w:p>
        </w:tc>
        <w:tc>
          <w:tcPr>
            <w:tcW w:type="dxa" w:w="107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2018-2024</w:t>
            </w:r>
          </w:p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F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0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Доведение ЕДДС до требований</w:t>
            </w:r>
          </w:p>
        </w:tc>
      </w:tr>
      <w:tr>
        <w:trPr>
          <w:trHeight w:hRule="atLeast" w:val="735"/>
        </w:trPr>
        <w:tc>
          <w:tcPr>
            <w:tcW w:type="dxa" w:w="3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7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МБ</w:t>
            </w:r>
          </w:p>
        </w:tc>
        <w:tc>
          <w:tcPr>
            <w:tcW w:type="dxa" w:w="103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0,15</w:t>
            </w:r>
          </w:p>
        </w:tc>
        <w:tc>
          <w:tcPr>
            <w:tcW w:type="dxa" w:w="56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5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45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60A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</w:t>
            </w:r>
          </w:p>
        </w:tc>
        <w:tc>
          <w:tcPr>
            <w:tcW w:type="dxa" w:w="5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76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570"/>
        </w:trPr>
        <w:tc>
          <w:tcPr>
            <w:tcW w:type="dxa" w:w="315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8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07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9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9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A0A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0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B0A0000">
            <w:pPr>
              <w:widowControl w:val="1"/>
              <w:spacing w:after="0" w:line="240" w:lineRule="auto"/>
              <w:ind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5221,451</w:t>
            </w:r>
          </w:p>
        </w:tc>
        <w:tc>
          <w:tcPr>
            <w:tcW w:type="dxa" w:w="56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C0A0000">
            <w:pPr>
              <w:widowControl w:val="1"/>
              <w:spacing w:after="0" w:line="240" w:lineRule="auto"/>
              <w:ind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type="dxa" w:w="9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D0A0000">
            <w:pPr>
              <w:widowControl w:val="1"/>
              <w:spacing w:after="0" w:line="240" w:lineRule="auto"/>
              <w:ind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7352,6</w:t>
            </w:r>
          </w:p>
        </w:tc>
        <w:tc>
          <w:tcPr>
            <w:tcW w:type="dxa" w:w="57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E0A0000">
            <w:pPr>
              <w:widowControl w:val="1"/>
              <w:spacing w:after="0" w:line="240" w:lineRule="auto"/>
              <w:ind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7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F0A0000">
            <w:pPr>
              <w:widowControl w:val="1"/>
              <w:spacing w:after="0" w:line="240" w:lineRule="auto"/>
              <w:ind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140,82</w:t>
            </w:r>
          </w:p>
        </w:tc>
      </w:tr>
    </w:tbl>
    <w:p w14:paraId="F00A0000"/>
    <w:p w14:paraId="F10A0000"/>
    <w:sectPr>
      <w:pgSz w:h="16838" w:orient="portrait" w:w="11906"/>
      <w:pgMar w:bottom="851" w:footer="709" w:gutter="0" w:header="709" w:left="1701" w:right="851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ConsPlusTitlePage"/>
    <w:link w:val="Style_9_ch"/>
    <w:pPr>
      <w:widowControl w:val="0"/>
      <w:spacing w:after="0" w:line="240" w:lineRule="auto"/>
      <w:ind/>
    </w:pPr>
    <w:rPr>
      <w:rFonts w:ascii="Tahoma" w:hAnsi="Tahoma"/>
      <w:sz w:val="20"/>
    </w:rPr>
  </w:style>
  <w:style w:styleId="Style_9_ch" w:type="character">
    <w:name w:val="ConsPlusTitlePage"/>
    <w:link w:val="Style_9"/>
    <w:rPr>
      <w:rFonts w:ascii="Tahoma" w:hAnsi="Tahoma"/>
      <w:sz w:val="20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4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toc 3"/>
    <w:next w:val="Style_4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4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4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2" w:type="paragraph">
    <w:name w:val="ConsPlusNormal"/>
    <w:link w:val="Style_2_ch"/>
    <w:pPr>
      <w:widowControl w:val="0"/>
      <w:spacing w:after="0" w:line="240" w:lineRule="auto"/>
      <w:ind/>
    </w:pPr>
    <w:rPr>
      <w:rFonts w:ascii="Calibri" w:hAnsi="Calibri"/>
    </w:rPr>
  </w:style>
  <w:style w:styleId="Style_2_ch" w:type="character">
    <w:name w:val="ConsPlusNormal"/>
    <w:link w:val="Style_2"/>
    <w:rPr>
      <w:rFonts w:ascii="Calibri" w:hAnsi="Calibri"/>
    </w:rPr>
  </w:style>
  <w:style w:styleId="Style_15" w:type="paragraph">
    <w:name w:val="Hyperlink"/>
    <w:basedOn w:val="Style_16"/>
    <w:link w:val="Style_15_ch"/>
    <w:rPr>
      <w:color w:themeColor="hyperlink" w:val="0563C1"/>
      <w:u w:val="single"/>
    </w:rPr>
  </w:style>
  <w:style w:styleId="Style_15_ch" w:type="character">
    <w:name w:val="Hyperlink"/>
    <w:basedOn w:val="Style_16_ch"/>
    <w:link w:val="Style_15"/>
    <w:rPr>
      <w:color w:themeColor="hyperlink" w:val="0563C1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4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4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4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22" w:type="paragraph">
    <w:name w:val="toc 5"/>
    <w:next w:val="Style_4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4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Balloon Text"/>
    <w:basedOn w:val="Style_4"/>
    <w:link w:val="Style_24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4_ch" w:type="character">
    <w:name w:val="Balloon Text"/>
    <w:basedOn w:val="Style_4_ch"/>
    <w:link w:val="Style_24"/>
    <w:rPr>
      <w:rFonts w:ascii="Segoe UI" w:hAnsi="Segoe UI"/>
      <w:sz w:val="18"/>
    </w:rPr>
  </w:style>
  <w:style w:styleId="Style_25" w:type="paragraph">
    <w:name w:val="Title"/>
    <w:next w:val="Style_4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4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ConsPlusTitle"/>
    <w:link w:val="Style_27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27_ch" w:type="character">
    <w:name w:val="ConsPlusTitle"/>
    <w:link w:val="Style_27"/>
    <w:rPr>
      <w:rFonts w:ascii="Calibri" w:hAnsi="Calibri"/>
      <w:b w:val="1"/>
    </w:rPr>
  </w:style>
  <w:style w:styleId="Style_28" w:type="paragraph">
    <w:name w:val="heading 2"/>
    <w:next w:val="Style_4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1" w:type="table">
    <w:name w:val="Table Grid"/>
    <w:basedOn w:val="Style_3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2025-08-18T07:36:00Z</dcterms:created>
  <dcterms:modified xsi:type="dcterms:W3CDTF">2026-08-25T03:42:32Z</dcterms:modified>
</cp:coreProperties>
</file>