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73" w:rsidRPr="00022073" w:rsidRDefault="00022073" w:rsidP="00022073">
      <w:pPr>
        <w:widowControl/>
        <w:tabs>
          <w:tab w:val="left" w:pos="1418"/>
        </w:tabs>
        <w:autoSpaceDE/>
        <w:autoSpaceDN/>
        <w:adjustRightInd/>
        <w:ind w:firstLine="567"/>
        <w:jc w:val="right"/>
        <w:rPr>
          <w:sz w:val="24"/>
          <w:szCs w:val="24"/>
        </w:rPr>
      </w:pPr>
      <w:bookmarkStart w:id="0" w:name="_GoBack"/>
      <w:bookmarkEnd w:id="0"/>
      <w:r w:rsidRPr="00022073">
        <w:rPr>
          <w:sz w:val="24"/>
          <w:szCs w:val="24"/>
        </w:rPr>
        <w:t>Приложение №1</w:t>
      </w:r>
    </w:p>
    <w:p w:rsidR="00022073" w:rsidRPr="00022073" w:rsidRDefault="00022073" w:rsidP="00022073">
      <w:pPr>
        <w:widowControl/>
        <w:tabs>
          <w:tab w:val="left" w:pos="1418"/>
        </w:tabs>
        <w:autoSpaceDE/>
        <w:autoSpaceDN/>
        <w:adjustRightInd/>
        <w:ind w:firstLine="567"/>
        <w:jc w:val="right"/>
        <w:rPr>
          <w:sz w:val="24"/>
          <w:szCs w:val="24"/>
        </w:rPr>
      </w:pPr>
      <w:proofErr w:type="gramStart"/>
      <w:r w:rsidRPr="00022073">
        <w:rPr>
          <w:sz w:val="24"/>
          <w:szCs w:val="24"/>
        </w:rPr>
        <w:t>к</w:t>
      </w:r>
      <w:proofErr w:type="gramEnd"/>
      <w:r w:rsidRPr="00022073">
        <w:rPr>
          <w:sz w:val="24"/>
          <w:szCs w:val="24"/>
        </w:rPr>
        <w:t xml:space="preserve"> постановлению администрации</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Крапивинского муниципального округа</w:t>
      </w:r>
    </w:p>
    <w:p w:rsidR="00022073" w:rsidRPr="00022073" w:rsidRDefault="00022073" w:rsidP="00022073">
      <w:pPr>
        <w:widowControl/>
        <w:tabs>
          <w:tab w:val="left" w:pos="1418"/>
        </w:tabs>
        <w:autoSpaceDE/>
        <w:autoSpaceDN/>
        <w:adjustRightInd/>
        <w:ind w:firstLine="567"/>
        <w:jc w:val="center"/>
        <w:rPr>
          <w:sz w:val="24"/>
          <w:szCs w:val="24"/>
        </w:rPr>
      </w:pPr>
      <w:r w:rsidRPr="00022073">
        <w:rPr>
          <w:sz w:val="24"/>
          <w:szCs w:val="24"/>
        </w:rPr>
        <w:t xml:space="preserve">                                                                                         </w:t>
      </w:r>
      <w:proofErr w:type="gramStart"/>
      <w:r w:rsidRPr="00022073">
        <w:rPr>
          <w:sz w:val="24"/>
          <w:szCs w:val="24"/>
        </w:rPr>
        <w:t>от</w:t>
      </w:r>
      <w:proofErr w:type="gramEnd"/>
      <w:r w:rsidRPr="00022073">
        <w:rPr>
          <w:sz w:val="24"/>
          <w:szCs w:val="24"/>
        </w:rPr>
        <w:t xml:space="preserve"> ____________г. № _______</w:t>
      </w:r>
    </w:p>
    <w:p w:rsidR="00022073" w:rsidRPr="00022073" w:rsidRDefault="00022073" w:rsidP="00022073">
      <w:pPr>
        <w:widowControl/>
        <w:ind w:firstLine="1559"/>
        <w:jc w:val="both"/>
        <w:rPr>
          <w:sz w:val="28"/>
          <w:szCs w:val="28"/>
        </w:rPr>
      </w:pPr>
    </w:p>
    <w:p w:rsidR="00022073" w:rsidRPr="00022073" w:rsidRDefault="00022073" w:rsidP="00022073">
      <w:pPr>
        <w:widowControl/>
        <w:jc w:val="both"/>
        <w:rPr>
          <w:sz w:val="28"/>
          <w:szCs w:val="28"/>
        </w:rPr>
      </w:pPr>
    </w:p>
    <w:p w:rsidR="00022073" w:rsidRPr="00022073" w:rsidRDefault="00022073" w:rsidP="00022073">
      <w:pPr>
        <w:widowControl/>
        <w:spacing w:line="240" w:lineRule="exact"/>
        <w:jc w:val="center"/>
        <w:rPr>
          <w:b/>
          <w:bCs/>
          <w:sz w:val="28"/>
          <w:szCs w:val="28"/>
        </w:rPr>
      </w:pPr>
      <w:bookmarkStart w:id="1" w:name="Par44"/>
      <w:bookmarkEnd w:id="1"/>
      <w:r w:rsidRPr="00022073">
        <w:rPr>
          <w:b/>
          <w:bCs/>
          <w:sz w:val="28"/>
          <w:szCs w:val="28"/>
        </w:rPr>
        <w:t xml:space="preserve">Программа профилактики </w:t>
      </w:r>
      <w:r w:rsidRPr="00022073">
        <w:rPr>
          <w:b/>
          <w:sz w:val="28"/>
          <w:szCs w:val="28"/>
        </w:rPr>
        <w:t xml:space="preserve">рисков причинения вреда (ущерба) охраняемым законом ценностям по муниципальному земельному контролю </w:t>
      </w:r>
      <w:r w:rsidRPr="00022073">
        <w:rPr>
          <w:b/>
          <w:bCs/>
          <w:sz w:val="28"/>
          <w:szCs w:val="28"/>
        </w:rPr>
        <w:t>на 2022 год</w:t>
      </w: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ind w:firstLine="709"/>
        <w:jc w:val="center"/>
        <w:outlineLvl w:val="1"/>
        <w:rPr>
          <w:b/>
          <w:bCs/>
          <w:sz w:val="28"/>
          <w:szCs w:val="28"/>
        </w:rPr>
      </w:pPr>
      <w:bookmarkStart w:id="2" w:name="Par94"/>
      <w:bookmarkEnd w:id="2"/>
      <w:r w:rsidRPr="00022073">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2073" w:rsidRPr="00022073" w:rsidRDefault="00022073" w:rsidP="00022073">
      <w:pPr>
        <w:widowControl/>
        <w:ind w:firstLine="709"/>
        <w:jc w:val="both"/>
        <w:rPr>
          <w:sz w:val="28"/>
          <w:szCs w:val="28"/>
        </w:rPr>
      </w:pPr>
    </w:p>
    <w:p w:rsidR="00022073" w:rsidRPr="00022073" w:rsidRDefault="00022073" w:rsidP="00022073">
      <w:pPr>
        <w:widowControl/>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w:t>
      </w:r>
      <w:r w:rsidRPr="00022073">
        <w:rPr>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а</w:t>
      </w:r>
      <w:proofErr w:type="gramEnd"/>
      <w:r w:rsidRPr="00022073">
        <w:rPr>
          <w:sz w:val="28"/>
          <w:szCs w:val="28"/>
          <w:lang w:eastAsia="zh-CN"/>
        </w:rPr>
        <w:t>)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б</w:t>
      </w:r>
      <w:proofErr w:type="gramEnd"/>
      <w:r w:rsidRPr="00022073">
        <w:rPr>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в</w:t>
      </w:r>
      <w:proofErr w:type="gramEnd"/>
      <w:r w:rsidRPr="00022073">
        <w:rPr>
          <w:sz w:val="28"/>
          <w:szCs w:val="28"/>
          <w:lang w:eastAsia="zh-CN"/>
        </w:rPr>
        <w:t>)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г</w:t>
      </w:r>
      <w:proofErr w:type="gramEnd"/>
      <w:r w:rsidRPr="00022073">
        <w:rPr>
          <w:sz w:val="28"/>
          <w:szCs w:val="28"/>
          <w:lang w:eastAsia="zh-CN"/>
        </w:rPr>
        <w:t>)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д</w:t>
      </w:r>
      <w:proofErr w:type="gramEnd"/>
      <w:r w:rsidRPr="00022073">
        <w:rPr>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lastRenderedPageBreak/>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Общее количество подконтрольных субъектов, в отношении которых проводились мероприятия по муниципальному земельному контролю в 2020 году составило 92 единицы;</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bCs/>
          <w:sz w:val="28"/>
          <w:szCs w:val="28"/>
          <w:lang w:eastAsia="en-US"/>
        </w:rPr>
        <w:t>Штатная численность должностных лиц, уполномоченных осуществлять муниципальный земельный контроль, в 2020 года составляла 1 человек.</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r w:rsidRPr="00022073">
        <w:rPr>
          <w:rFonts w:eastAsia="Calibri"/>
          <w:sz w:val="28"/>
          <w:szCs w:val="28"/>
          <w:lang w:eastAsia="en-US"/>
        </w:rPr>
        <w:t>Основными отчетными показателями деятельности в рамках осуществления муниципального земельного контроля за 2020 год являются:</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proofErr w:type="gramStart"/>
      <w:r w:rsidRPr="00022073">
        <w:rPr>
          <w:rFonts w:eastAsia="Calibri"/>
          <w:bCs/>
          <w:sz w:val="28"/>
          <w:szCs w:val="28"/>
          <w:lang w:eastAsia="en-US"/>
        </w:rPr>
        <w:t>количество</w:t>
      </w:r>
      <w:proofErr w:type="gramEnd"/>
      <w:r w:rsidRPr="00022073">
        <w:rPr>
          <w:rFonts w:eastAsia="Calibri"/>
          <w:bCs/>
          <w:sz w:val="28"/>
          <w:szCs w:val="28"/>
          <w:lang w:eastAsia="en-US"/>
        </w:rPr>
        <w:t xml:space="preserve"> проведенных проверок</w:t>
      </w:r>
      <w:r w:rsidRPr="00022073">
        <w:rPr>
          <w:rFonts w:eastAsia="Calibri"/>
          <w:sz w:val="28"/>
          <w:szCs w:val="28"/>
          <w:lang w:eastAsia="en-US"/>
        </w:rPr>
        <w:t xml:space="preserve"> </w:t>
      </w:r>
      <w:r w:rsidRPr="00022073">
        <w:rPr>
          <w:rFonts w:eastAsia="Calibri"/>
          <w:bCs/>
          <w:sz w:val="28"/>
          <w:szCs w:val="28"/>
          <w:lang w:eastAsia="en-US"/>
        </w:rPr>
        <w:t>за 2020 год – 61;</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proofErr w:type="gramStart"/>
      <w:r w:rsidRPr="00022073">
        <w:rPr>
          <w:rFonts w:eastAsia="Calibri"/>
          <w:sz w:val="28"/>
          <w:szCs w:val="28"/>
          <w:lang w:eastAsia="en-US"/>
        </w:rPr>
        <w:t>количество</w:t>
      </w:r>
      <w:proofErr w:type="gramEnd"/>
      <w:r w:rsidRPr="00022073">
        <w:rPr>
          <w:rFonts w:eastAsia="Calibri"/>
          <w:sz w:val="28"/>
          <w:szCs w:val="28"/>
          <w:lang w:eastAsia="en-US"/>
        </w:rPr>
        <w:t xml:space="preserve"> выявленных нарушений за 2020 год – 4; </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proofErr w:type="gramStart"/>
      <w:r w:rsidRPr="00022073">
        <w:rPr>
          <w:rFonts w:eastAsia="Calibri"/>
          <w:sz w:val="28"/>
          <w:szCs w:val="28"/>
          <w:lang w:eastAsia="en-US"/>
        </w:rPr>
        <w:t>количество</w:t>
      </w:r>
      <w:proofErr w:type="gramEnd"/>
      <w:r w:rsidRPr="00022073">
        <w:rPr>
          <w:rFonts w:eastAsia="Calibri"/>
          <w:sz w:val="28"/>
          <w:szCs w:val="28"/>
          <w:lang w:eastAsia="en-US"/>
        </w:rPr>
        <w:t xml:space="preserve"> выданных предписаний за 2020 год – 4;</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2"/>
          <w:szCs w:val="22"/>
          <w:lang w:eastAsia="en-US"/>
        </w:rPr>
      </w:pPr>
      <w:proofErr w:type="gramStart"/>
      <w:r w:rsidRPr="00022073">
        <w:rPr>
          <w:rFonts w:eastAsia="Calibri"/>
          <w:sz w:val="28"/>
          <w:szCs w:val="28"/>
          <w:lang w:eastAsia="en-US"/>
        </w:rPr>
        <w:t>количество</w:t>
      </w:r>
      <w:proofErr w:type="gramEnd"/>
      <w:r w:rsidRPr="00022073">
        <w:rPr>
          <w:rFonts w:eastAsia="Calibri"/>
          <w:sz w:val="28"/>
          <w:szCs w:val="28"/>
          <w:lang w:eastAsia="en-US"/>
        </w:rPr>
        <w:t xml:space="preserve"> проведенных плановых (рейдовых) осмотров, обследований земельных участков за 2020 год – 9. </w:t>
      </w:r>
    </w:p>
    <w:p w:rsidR="00022073" w:rsidRPr="00022073" w:rsidRDefault="00022073" w:rsidP="00022073">
      <w:pPr>
        <w:widowControl/>
        <w:suppressAutoHyphens/>
        <w:autoSpaceDE/>
        <w:autoSpaceDN/>
        <w:adjustRightInd/>
        <w:ind w:firstLine="567"/>
        <w:contextualSpacing/>
        <w:jc w:val="both"/>
        <w:rPr>
          <w:rFonts w:eastAsia="Calibri"/>
          <w:sz w:val="28"/>
          <w:szCs w:val="28"/>
          <w:lang w:eastAsia="en-US"/>
        </w:rPr>
      </w:pPr>
      <w:r w:rsidRPr="00022073">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 в 202</w:t>
      </w:r>
      <w:r w:rsidRPr="00022073">
        <w:rPr>
          <w:sz w:val="28"/>
          <w:szCs w:val="28"/>
          <w:lang w:eastAsia="en-US"/>
        </w:rPr>
        <w:t>0</w:t>
      </w:r>
      <w:r w:rsidRPr="00022073">
        <w:rPr>
          <w:rFonts w:eastAsia="Calibri"/>
          <w:sz w:val="28"/>
          <w:szCs w:val="28"/>
          <w:lang w:eastAsia="en-US"/>
        </w:rPr>
        <w:t xml:space="preserve"> году:</w:t>
      </w:r>
    </w:p>
    <w:p w:rsidR="00022073" w:rsidRPr="00022073" w:rsidRDefault="00022073" w:rsidP="00022073">
      <w:pPr>
        <w:widowControl/>
        <w:suppressAutoHyphens/>
        <w:autoSpaceDE/>
        <w:autoSpaceDN/>
        <w:adjustRightInd/>
        <w:ind w:firstLine="567"/>
        <w:contextualSpacing/>
        <w:jc w:val="both"/>
        <w:rPr>
          <w:rFonts w:eastAsia="Calibri"/>
          <w:sz w:val="28"/>
          <w:szCs w:val="28"/>
          <w:lang w:eastAsia="en-US"/>
        </w:rPr>
      </w:pPr>
      <w:r w:rsidRPr="00022073">
        <w:rPr>
          <w:rFonts w:eastAsia="Calibri"/>
          <w:sz w:val="28"/>
          <w:szCs w:val="28"/>
          <w:lang w:eastAsia="en-US"/>
        </w:rPr>
        <w:t>поддерживались в актуальном состоянии и размещались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022073" w:rsidRPr="00022073" w:rsidRDefault="00022073" w:rsidP="00022073">
      <w:pPr>
        <w:suppressAutoHyphens/>
        <w:autoSpaceDE/>
        <w:autoSpaceDN/>
        <w:adjustRightInd/>
        <w:ind w:firstLine="567"/>
        <w:contextualSpacing/>
        <w:jc w:val="both"/>
        <w:rPr>
          <w:sz w:val="28"/>
          <w:szCs w:val="28"/>
          <w:lang w:eastAsia="zh-CN"/>
        </w:rPr>
      </w:pPr>
      <w:proofErr w:type="gramStart"/>
      <w:r w:rsidRPr="00022073">
        <w:rPr>
          <w:sz w:val="28"/>
          <w:szCs w:val="28"/>
          <w:lang w:eastAsia="zh-CN"/>
        </w:rPr>
        <w:t>размещалась</w:t>
      </w:r>
      <w:proofErr w:type="gramEnd"/>
      <w:r w:rsidRPr="00022073">
        <w:rPr>
          <w:sz w:val="28"/>
          <w:szCs w:val="28"/>
          <w:lang w:eastAsia="zh-CN"/>
        </w:rPr>
        <w:t xml:space="preserve"> на официальном сайте Администрация округа информация о результатах осуществления </w:t>
      </w:r>
      <w:r w:rsidRPr="00022073">
        <w:rPr>
          <w:rFonts w:eastAsia="Calibri"/>
          <w:sz w:val="28"/>
          <w:szCs w:val="28"/>
          <w:lang w:eastAsia="zh-CN"/>
        </w:rPr>
        <w:t>муниципального земельного контроля;</w:t>
      </w:r>
    </w:p>
    <w:p w:rsidR="00022073" w:rsidRPr="00022073" w:rsidRDefault="00022073" w:rsidP="00022073">
      <w:pPr>
        <w:suppressAutoHyphens/>
        <w:autoSpaceDE/>
        <w:autoSpaceDN/>
        <w:adjustRightInd/>
        <w:ind w:firstLine="567"/>
        <w:contextualSpacing/>
        <w:jc w:val="both"/>
        <w:rPr>
          <w:sz w:val="28"/>
          <w:szCs w:val="28"/>
          <w:lang w:eastAsia="zh-CN"/>
        </w:rPr>
      </w:pPr>
      <w:proofErr w:type="gramStart"/>
      <w:r w:rsidRPr="00022073">
        <w:rPr>
          <w:sz w:val="28"/>
          <w:szCs w:val="28"/>
          <w:lang w:eastAsia="zh-CN"/>
        </w:rPr>
        <w:t>осуществлялось</w:t>
      </w:r>
      <w:proofErr w:type="gramEnd"/>
      <w:r w:rsidRPr="00022073">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proofErr w:type="gramStart"/>
      <w:r w:rsidRPr="00022073">
        <w:rPr>
          <w:rFonts w:eastAsia="Calibri"/>
          <w:sz w:val="28"/>
          <w:szCs w:val="28"/>
          <w:lang w:eastAsia="en-US"/>
        </w:rPr>
        <w:t>проводились</w:t>
      </w:r>
      <w:proofErr w:type="gramEnd"/>
      <w:r w:rsidRPr="00022073">
        <w:rPr>
          <w:rFonts w:eastAsia="Calibri"/>
          <w:sz w:val="28"/>
          <w:szCs w:val="28"/>
          <w:lang w:eastAsia="en-US"/>
        </w:rPr>
        <w:t xml:space="preserve"> плановые (рейдовые) осмотры, обследования земельных участков.</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022073">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022073" w:rsidRPr="00022073" w:rsidRDefault="00022073" w:rsidP="00022073">
      <w:pPr>
        <w:widowControl/>
        <w:numPr>
          <w:ilvl w:val="0"/>
          <w:numId w:val="13"/>
        </w:numPr>
        <w:autoSpaceDE/>
        <w:autoSpaceDN/>
        <w:adjustRightInd/>
        <w:spacing w:after="200" w:line="276" w:lineRule="auto"/>
        <w:ind w:left="0" w:firstLine="567"/>
        <w:contextualSpacing/>
        <w:jc w:val="both"/>
        <w:rPr>
          <w:bCs/>
          <w:i/>
          <w:sz w:val="28"/>
          <w:szCs w:val="28"/>
        </w:rPr>
      </w:pPr>
      <w:r w:rsidRPr="00022073">
        <w:rPr>
          <w:bCs/>
          <w:sz w:val="28"/>
          <w:szCs w:val="28"/>
        </w:rPr>
        <w:lastRenderedPageBreak/>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022073" w:rsidRPr="00022073" w:rsidRDefault="00022073" w:rsidP="00022073">
      <w:pPr>
        <w:widowControl/>
        <w:ind w:firstLine="567"/>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022073" w:rsidRPr="00022073" w:rsidRDefault="00022073" w:rsidP="00022073">
      <w:pPr>
        <w:widowControl/>
        <w:numPr>
          <w:ilvl w:val="0"/>
          <w:numId w:val="13"/>
        </w:numPr>
        <w:autoSpaceDE/>
        <w:autoSpaceDN/>
        <w:adjustRightInd/>
        <w:spacing w:after="200" w:line="276" w:lineRule="auto"/>
        <w:contextualSpacing/>
        <w:jc w:val="both"/>
        <w:rPr>
          <w:bCs/>
          <w:i/>
          <w:sz w:val="28"/>
          <w:szCs w:val="28"/>
        </w:rPr>
      </w:pPr>
      <w:r w:rsidRPr="00022073">
        <w:rPr>
          <w:bCs/>
          <w:sz w:val="28"/>
          <w:szCs w:val="28"/>
        </w:rPr>
        <w:t>Сознательное бездействие правообладателей земельных участков.</w:t>
      </w:r>
    </w:p>
    <w:p w:rsidR="00022073" w:rsidRPr="00022073" w:rsidRDefault="00022073" w:rsidP="00022073">
      <w:pPr>
        <w:widowControl/>
        <w:ind w:firstLine="927"/>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022073" w:rsidRPr="00022073" w:rsidRDefault="00022073" w:rsidP="00022073">
      <w:pPr>
        <w:widowControl/>
        <w:ind w:firstLine="927"/>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022073" w:rsidRPr="00022073" w:rsidRDefault="00022073" w:rsidP="00022073">
      <w:pPr>
        <w:widowControl/>
        <w:ind w:firstLine="927"/>
        <w:contextualSpacing/>
        <w:jc w:val="both"/>
        <w:rPr>
          <w:bCs/>
          <w:i/>
          <w:sz w:val="28"/>
          <w:szCs w:val="28"/>
        </w:rPr>
      </w:pPr>
      <w:r w:rsidRPr="00022073">
        <w:rPr>
          <w:bCs/>
          <w:sz w:val="28"/>
          <w:szCs w:val="28"/>
        </w:rPr>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022073" w:rsidRPr="00022073" w:rsidRDefault="00022073" w:rsidP="00022073">
      <w:pPr>
        <w:widowControl/>
        <w:jc w:val="both"/>
        <w:rPr>
          <w:sz w:val="28"/>
          <w:szCs w:val="28"/>
        </w:rPr>
      </w:pPr>
    </w:p>
    <w:p w:rsidR="00022073" w:rsidRPr="00022073" w:rsidRDefault="00022073" w:rsidP="00022073">
      <w:pPr>
        <w:widowControl/>
        <w:ind w:firstLine="709"/>
        <w:jc w:val="center"/>
        <w:outlineLvl w:val="1"/>
        <w:rPr>
          <w:b/>
          <w:bCs/>
          <w:sz w:val="28"/>
          <w:szCs w:val="28"/>
        </w:rPr>
      </w:pPr>
      <w:bookmarkStart w:id="3" w:name="Par175"/>
      <w:bookmarkEnd w:id="3"/>
      <w:r w:rsidRPr="00022073">
        <w:rPr>
          <w:b/>
          <w:bCs/>
          <w:sz w:val="28"/>
          <w:szCs w:val="28"/>
        </w:rPr>
        <w:t>Раздел 2. Цели и задачи реализации программы профилактики</w:t>
      </w:r>
    </w:p>
    <w:p w:rsidR="00022073" w:rsidRPr="00022073" w:rsidRDefault="00022073" w:rsidP="00022073">
      <w:pPr>
        <w:widowControl/>
        <w:jc w:val="both"/>
        <w:rPr>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Основными целями Программы профилактики являются:</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2073" w:rsidRPr="00022073" w:rsidRDefault="00022073" w:rsidP="00022073">
      <w:pPr>
        <w:widowControl/>
        <w:jc w:val="both"/>
        <w:rPr>
          <w:i/>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iCs/>
          <w:sz w:val="28"/>
          <w:szCs w:val="28"/>
        </w:rPr>
        <w:lastRenderedPageBreak/>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22073" w:rsidRPr="00022073" w:rsidRDefault="00022073" w:rsidP="00022073">
      <w:pPr>
        <w:widowControl/>
        <w:jc w:val="both"/>
        <w:rPr>
          <w:i/>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3. Перечень профилактических мероприятий, сроки (периодичность) их проведения</w:t>
      </w:r>
    </w:p>
    <w:p w:rsidR="00022073" w:rsidRPr="00022073" w:rsidRDefault="00022073" w:rsidP="00022073">
      <w:pPr>
        <w:widowControl/>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022073" w:rsidRPr="00022073" w:rsidTr="007F4232">
        <w:tc>
          <w:tcPr>
            <w:tcW w:w="568"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iCs/>
                <w:sz w:val="24"/>
                <w:szCs w:val="24"/>
              </w:rPr>
            </w:pPr>
            <w:r w:rsidRPr="00022073">
              <w:rPr>
                <w:iCs/>
                <w:sz w:val="24"/>
                <w:szCs w:val="24"/>
              </w:rPr>
              <w:t>Структурное подразделение, ответственное за реализацию</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022073" w:rsidRPr="00022073" w:rsidTr="007F4232">
        <w:tc>
          <w:tcPr>
            <w:tcW w:w="568"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lastRenderedPageBreak/>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lang w:val="en-US"/>
              </w:rPr>
              <w:t>I</w:t>
            </w:r>
            <w:r w:rsidRPr="00022073">
              <w:rPr>
                <w:iCs/>
                <w:sz w:val="24"/>
                <w:szCs w:val="24"/>
              </w:rPr>
              <w:t xml:space="preserve">, </w:t>
            </w:r>
            <w:r w:rsidRPr="00022073">
              <w:rPr>
                <w:iCs/>
                <w:sz w:val="24"/>
                <w:szCs w:val="24"/>
                <w:lang w:val="en-US"/>
              </w:rPr>
              <w:t>IV</w:t>
            </w:r>
            <w:r w:rsidRPr="00022073">
              <w:rPr>
                <w:iCs/>
                <w:sz w:val="24"/>
                <w:szCs w:val="24"/>
              </w:rPr>
              <w:t xml:space="preserve"> квартал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022073" w:rsidRPr="00022073" w:rsidRDefault="00022073" w:rsidP="00022073">
            <w:pPr>
              <w:widowControl/>
              <w:jc w:val="center"/>
              <w:rPr>
                <w:iCs/>
                <w:sz w:val="24"/>
                <w:szCs w:val="24"/>
              </w:rPr>
            </w:pPr>
            <w:r w:rsidRPr="00022073">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 xml:space="preserve">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w:t>
      </w:r>
      <w:r w:rsidRPr="00022073">
        <w:rPr>
          <w:sz w:val="28"/>
          <w:szCs w:val="28"/>
          <w:lang w:eastAsia="zh-CN"/>
        </w:rPr>
        <w:lastRenderedPageBreak/>
        <w:t>отметкой в журнале учета объявленных предостережений. При несогласии с возражением указываются соответствующие обоснования.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осуществляется в устной или письменной форме по следующим вопросам:</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1) организация и осуществление муниципального земельного контроля;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2) порядок осуществления контрольных мероприятий;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2) за время консультирования предоставить ответ на поставленные вопросы невозможно;</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3) ответ на поставленные вопросы требует дополнительного запроса сведений.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022073" w:rsidRPr="00022073" w:rsidRDefault="00022073" w:rsidP="00022073">
      <w:pPr>
        <w:widowControl/>
        <w:suppressAutoHyphens/>
        <w:autoSpaceDN/>
        <w:adjustRightInd/>
        <w:ind w:firstLine="720"/>
        <w:jc w:val="both"/>
        <w:rPr>
          <w:sz w:val="28"/>
          <w:szCs w:val="28"/>
          <w:lang w:eastAsia="zh-CN"/>
        </w:rPr>
      </w:pPr>
      <w:r w:rsidRPr="00022073">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022073" w:rsidRPr="00022073" w:rsidRDefault="00022073" w:rsidP="00022073">
      <w:pPr>
        <w:widowControl/>
        <w:suppressAutoHyphens/>
        <w:autoSpaceDN/>
        <w:adjustRightInd/>
        <w:ind w:firstLine="540"/>
        <w:jc w:val="both"/>
        <w:rPr>
          <w:sz w:val="28"/>
          <w:szCs w:val="28"/>
          <w:lang w:eastAsia="zh-CN"/>
        </w:rPr>
      </w:pP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22073" w:rsidRPr="00022073" w:rsidRDefault="00022073" w:rsidP="00022073">
      <w:pPr>
        <w:widowControl/>
        <w:suppressAutoHyphens/>
        <w:autoSpaceDN/>
        <w:adjustRightInd/>
        <w:ind w:firstLine="540"/>
        <w:jc w:val="both"/>
        <w:rPr>
          <w:sz w:val="28"/>
          <w:szCs w:val="28"/>
          <w:lang w:eastAsia="zh-CN"/>
        </w:rPr>
      </w:pPr>
      <w:r w:rsidRPr="00022073">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22073" w:rsidRPr="00022073" w:rsidRDefault="00022073" w:rsidP="00022073">
      <w:pPr>
        <w:widowControl/>
        <w:autoSpaceDE/>
        <w:autoSpaceDN/>
        <w:adjustRightInd/>
        <w:ind w:firstLine="540"/>
        <w:jc w:val="both"/>
        <w:rPr>
          <w:sz w:val="28"/>
          <w:szCs w:val="28"/>
        </w:rPr>
      </w:pPr>
      <w:r w:rsidRPr="00022073">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022073" w:rsidRPr="00022073" w:rsidRDefault="00022073" w:rsidP="00022073">
      <w:pPr>
        <w:widowControl/>
        <w:autoSpaceDE/>
        <w:autoSpaceDN/>
        <w:adjustRightInd/>
        <w:ind w:firstLine="540"/>
        <w:jc w:val="both"/>
        <w:rPr>
          <w:sz w:val="28"/>
          <w:szCs w:val="28"/>
        </w:rPr>
      </w:pPr>
      <w:r w:rsidRPr="00022073">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22073" w:rsidRPr="00022073" w:rsidRDefault="00022073" w:rsidP="00022073">
      <w:pPr>
        <w:widowControl/>
        <w:autoSpaceDE/>
        <w:autoSpaceDN/>
        <w:adjustRightInd/>
        <w:ind w:firstLine="540"/>
        <w:jc w:val="both"/>
        <w:rPr>
          <w:sz w:val="28"/>
          <w:szCs w:val="28"/>
        </w:rPr>
      </w:pPr>
      <w:r w:rsidRPr="00022073">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022073" w:rsidRPr="00022073" w:rsidRDefault="00022073" w:rsidP="00022073">
      <w:pPr>
        <w:widowControl/>
        <w:ind w:firstLine="709"/>
        <w:jc w:val="center"/>
        <w:outlineLvl w:val="1"/>
        <w:rPr>
          <w:b/>
          <w:bCs/>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Величина</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 от числа обратившихся</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proofErr w:type="gramStart"/>
            <w:r w:rsidRPr="00022073">
              <w:rPr>
                <w:sz w:val="24"/>
                <w:szCs w:val="24"/>
              </w:rPr>
              <w:t>не</w:t>
            </w:r>
            <w:proofErr w:type="gramEnd"/>
            <w:r w:rsidRPr="00022073">
              <w:rPr>
                <w:sz w:val="24"/>
                <w:szCs w:val="24"/>
              </w:rPr>
              <w:t xml:space="preserve"> менее 20 мероприятий, проведенных контрольным органом</w:t>
            </w:r>
          </w:p>
        </w:tc>
      </w:tr>
    </w:tbl>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D934E6" w:rsidRDefault="00D934E6" w:rsidP="008475CC">
      <w:pPr>
        <w:widowControl/>
        <w:autoSpaceDE/>
        <w:autoSpaceDN/>
        <w:adjustRightInd/>
        <w:jc w:val="right"/>
        <w:rPr>
          <w:sz w:val="24"/>
          <w:szCs w:val="24"/>
        </w:rPr>
      </w:pPr>
    </w:p>
    <w:p w:rsidR="001B1251" w:rsidRPr="001B1251" w:rsidRDefault="001B1251" w:rsidP="008475CC">
      <w:pPr>
        <w:widowControl/>
        <w:autoSpaceDE/>
        <w:autoSpaceDN/>
        <w:adjustRightInd/>
        <w:jc w:val="right"/>
        <w:rPr>
          <w:sz w:val="28"/>
          <w:szCs w:val="28"/>
        </w:rPr>
      </w:pPr>
      <w:r w:rsidRPr="001B1251">
        <w:rPr>
          <w:sz w:val="28"/>
          <w:szCs w:val="28"/>
        </w:rPr>
        <w:t xml:space="preserve"> </w:t>
      </w:r>
    </w:p>
    <w:p w:rsidR="001B1251" w:rsidRPr="001B1251" w:rsidRDefault="001B1251" w:rsidP="008475CC">
      <w:pPr>
        <w:widowControl/>
        <w:autoSpaceDE/>
        <w:autoSpaceDN/>
        <w:adjustRightInd/>
        <w:jc w:val="right"/>
        <w:rPr>
          <w:sz w:val="28"/>
          <w:szCs w:val="28"/>
          <w:highlight w:val="yellow"/>
        </w:rPr>
      </w:pPr>
    </w:p>
    <w:p w:rsidR="001B1251" w:rsidRDefault="001B125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p w:rsidR="00167841" w:rsidRDefault="00167841" w:rsidP="001B1251">
      <w:pPr>
        <w:widowControl/>
        <w:autoSpaceDE/>
        <w:autoSpaceDN/>
        <w:adjustRightInd/>
        <w:jc w:val="center"/>
        <w:rPr>
          <w:sz w:val="18"/>
          <w:szCs w:val="18"/>
        </w:rPr>
      </w:pPr>
    </w:p>
    <w:sectPr w:rsidR="00167841"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139BA"/>
    <w:rsid w:val="00014701"/>
    <w:rsid w:val="00022073"/>
    <w:rsid w:val="0004479B"/>
    <w:rsid w:val="000457C6"/>
    <w:rsid w:val="000825EE"/>
    <w:rsid w:val="000B561C"/>
    <w:rsid w:val="000C5A38"/>
    <w:rsid w:val="000C7F59"/>
    <w:rsid w:val="000D7323"/>
    <w:rsid w:val="000E3707"/>
    <w:rsid w:val="00104167"/>
    <w:rsid w:val="00167841"/>
    <w:rsid w:val="001B1251"/>
    <w:rsid w:val="001C0989"/>
    <w:rsid w:val="001C6237"/>
    <w:rsid w:val="001D17D4"/>
    <w:rsid w:val="001D541D"/>
    <w:rsid w:val="00202A61"/>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5F2F46"/>
    <w:rsid w:val="00661BE0"/>
    <w:rsid w:val="006A51BD"/>
    <w:rsid w:val="006B4610"/>
    <w:rsid w:val="006C0EFC"/>
    <w:rsid w:val="006C7E55"/>
    <w:rsid w:val="006D55DB"/>
    <w:rsid w:val="00710722"/>
    <w:rsid w:val="007740A7"/>
    <w:rsid w:val="00796B02"/>
    <w:rsid w:val="007A4652"/>
    <w:rsid w:val="007D04F6"/>
    <w:rsid w:val="007E553B"/>
    <w:rsid w:val="007F4232"/>
    <w:rsid w:val="008475CC"/>
    <w:rsid w:val="008513DB"/>
    <w:rsid w:val="008B60D6"/>
    <w:rsid w:val="008C2513"/>
    <w:rsid w:val="008C5A79"/>
    <w:rsid w:val="008D0E88"/>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C6D6F"/>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6</cp:revision>
  <cp:lastPrinted>2021-12-09T07:51:00Z</cp:lastPrinted>
  <dcterms:created xsi:type="dcterms:W3CDTF">2021-12-09T08:06:00Z</dcterms:created>
  <dcterms:modified xsi:type="dcterms:W3CDTF">2021-12-17T08:33:00Z</dcterms:modified>
</cp:coreProperties>
</file>