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02000000">
      <w:pPr>
        <w:spacing w:after="0" w:line="240" w:lineRule="auto"/>
        <w:ind/>
        <w:jc w:val="center"/>
        <w:rPr>
          <w:rFonts w:ascii="XO Thames" w:hAnsi="XO Thames"/>
          <w:b w:val="1"/>
          <w:sz w:val="32"/>
        </w:rPr>
      </w:pPr>
      <w:r>
        <w:rPr>
          <w:rFonts w:ascii="XO Thames" w:hAnsi="XO Thames"/>
          <w:b w:val="1"/>
          <w:sz w:val="32"/>
        </w:rPr>
        <w:t>Результаты опросов населени</w:t>
      </w:r>
      <w:r>
        <w:rPr>
          <w:rFonts w:ascii="XO Thames" w:hAnsi="XO Thames"/>
          <w:b w:val="1"/>
          <w:sz w:val="32"/>
        </w:rPr>
        <w:t>я</w:t>
      </w:r>
      <w:r>
        <w:rPr>
          <w:rFonts w:ascii="XO Thames" w:hAnsi="XO Thames"/>
          <w:b w:val="1"/>
          <w:sz w:val="32"/>
        </w:rPr>
        <w:t xml:space="preserve"> </w:t>
      </w:r>
      <w:r>
        <w:rPr>
          <w:rFonts w:ascii="XO Thames" w:hAnsi="XO Thames"/>
          <w:b w:val="1"/>
          <w:sz w:val="32"/>
        </w:rPr>
        <w:t xml:space="preserve">(с применением </w:t>
      </w:r>
      <w:r>
        <w:rPr>
          <w:rFonts w:ascii="XO Thames" w:hAnsi="XO Thames"/>
          <w:b w:val="1"/>
          <w:sz w:val="32"/>
        </w:rPr>
        <w:t xml:space="preserve">информационных </w:t>
      </w:r>
      <w:r>
        <w:rPr>
          <w:rFonts w:ascii="XO Thames" w:hAnsi="XO Thames"/>
          <w:b w:val="1"/>
          <w:sz w:val="32"/>
        </w:rPr>
        <w:t>технологий)</w:t>
      </w:r>
      <w:r>
        <w:rPr>
          <w:rFonts w:ascii="XO Thames" w:hAnsi="XO Thames"/>
          <w:b w:val="1"/>
          <w:sz w:val="32"/>
        </w:rPr>
        <w:br/>
      </w:r>
      <w:r>
        <w:rPr>
          <w:rFonts w:ascii="XO Thames" w:hAnsi="XO Thames"/>
          <w:b w:val="1"/>
          <w:sz w:val="32"/>
        </w:rPr>
        <w:t xml:space="preserve">по оценке </w:t>
      </w:r>
      <w:r>
        <w:rPr>
          <w:rFonts w:ascii="XO Thames" w:hAnsi="XO Thames"/>
          <w:b w:val="1"/>
          <w:sz w:val="32"/>
        </w:rPr>
        <w:t xml:space="preserve">эффективности </w:t>
      </w:r>
      <w:r>
        <w:rPr>
          <w:rFonts w:ascii="XO Thames" w:hAnsi="XO Thames"/>
          <w:b w:val="1"/>
          <w:sz w:val="32"/>
        </w:rPr>
        <w:t>деятельност</w:t>
      </w:r>
      <w:r>
        <w:rPr>
          <w:rFonts w:ascii="XO Thames" w:hAnsi="XO Thames"/>
          <w:b w:val="1"/>
          <w:sz w:val="32"/>
        </w:rPr>
        <w:t>и</w:t>
      </w:r>
      <w:r>
        <w:rPr>
          <w:rFonts w:ascii="XO Thames" w:hAnsi="XO Thames"/>
          <w:b w:val="1"/>
          <w:sz w:val="32"/>
        </w:rPr>
        <w:t xml:space="preserve"> </w:t>
      </w:r>
      <w:r>
        <w:rPr>
          <w:rFonts w:ascii="XO Thames" w:hAnsi="XO Thames"/>
          <w:b w:val="1"/>
          <w:sz w:val="32"/>
        </w:rPr>
        <w:t>руководителей органов местного самоуправления</w:t>
      </w:r>
      <w:r>
        <w:rPr>
          <w:rFonts w:ascii="XO Thames" w:hAnsi="XO Thames"/>
          <w:b w:val="1"/>
          <w:sz w:val="32"/>
        </w:rPr>
        <w:br/>
      </w:r>
      <w:r>
        <w:rPr>
          <w:rFonts w:ascii="XO Thames" w:hAnsi="XO Thames"/>
          <w:b w:val="1"/>
          <w:sz w:val="32"/>
        </w:rPr>
        <w:t>Кемеровской</w:t>
      </w:r>
      <w:r>
        <w:rPr>
          <w:rFonts w:ascii="XO Thames" w:hAnsi="XO Thames"/>
          <w:b w:val="1"/>
          <w:sz w:val="32"/>
        </w:rPr>
        <w:t xml:space="preserve"> области</w:t>
      </w:r>
      <w:r>
        <w:rPr>
          <w:rFonts w:ascii="XO Thames" w:hAnsi="XO Thames"/>
          <w:b w:val="1"/>
          <w:sz w:val="32"/>
        </w:rPr>
        <w:t xml:space="preserve"> </w:t>
      </w:r>
      <w:r>
        <w:rPr>
          <w:rFonts w:ascii="XO Thames" w:hAnsi="XO Thames"/>
          <w:b w:val="1"/>
          <w:sz w:val="32"/>
        </w:rPr>
        <w:t>–</w:t>
      </w:r>
      <w:r>
        <w:rPr>
          <w:rFonts w:ascii="XO Thames" w:hAnsi="XO Thames"/>
          <w:b w:val="1"/>
          <w:sz w:val="32"/>
        </w:rPr>
        <w:t xml:space="preserve"> Кузбасса</w:t>
      </w:r>
      <w:r>
        <w:rPr>
          <w:rFonts w:ascii="XO Thames" w:hAnsi="XO Thames"/>
          <w:b w:val="1"/>
          <w:sz w:val="32"/>
        </w:rPr>
        <w:t xml:space="preserve"> </w:t>
      </w:r>
      <w:r>
        <w:rPr>
          <w:rFonts w:ascii="XO Thames" w:hAnsi="XO Thames"/>
          <w:b w:val="1"/>
          <w:sz w:val="32"/>
        </w:rPr>
        <w:t>за</w:t>
      </w:r>
      <w:r>
        <w:rPr>
          <w:rFonts w:ascii="XO Thames" w:hAnsi="XO Thames"/>
          <w:b w:val="1"/>
          <w:sz w:val="32"/>
        </w:rPr>
        <w:t xml:space="preserve"> 20</w:t>
      </w:r>
      <w:r>
        <w:rPr>
          <w:rFonts w:ascii="XO Thames" w:hAnsi="XO Thames"/>
          <w:b w:val="1"/>
          <w:sz w:val="32"/>
        </w:rPr>
        <w:t>25</w:t>
      </w:r>
      <w:r>
        <w:rPr>
          <w:rFonts w:ascii="XO Thames" w:hAnsi="XO Thames"/>
          <w:b w:val="1"/>
          <w:sz w:val="32"/>
        </w:rPr>
        <w:t xml:space="preserve"> год</w:t>
      </w:r>
      <w:bookmarkStart w:id="1" w:name="_GoBack"/>
      <w:bookmarkEnd w:id="1"/>
    </w:p>
    <w:p w14:paraId="03000000">
      <w:pPr>
        <w:spacing w:after="0" w:line="240" w:lineRule="auto"/>
        <w:ind/>
        <w:jc w:val="center"/>
        <w:rPr>
          <w:rFonts w:ascii="XO Thames" w:hAnsi="XO Thames"/>
          <w:b w:val="1"/>
          <w:sz w:val="32"/>
        </w:rPr>
      </w:pPr>
      <w:r>
        <w:rPr>
          <w:rFonts w:ascii="XO Thames" w:hAnsi="XO Thames"/>
          <w:b w:val="1"/>
          <w:sz w:val="32"/>
        </w:rPr>
        <w:t>Крапивинский муниципальный округ</w:t>
      </w:r>
    </w:p>
    <w:p w14:paraId="04000000">
      <w:pPr>
        <w:spacing w:after="0" w:line="240" w:lineRule="auto"/>
        <w:ind/>
        <w:jc w:val="right"/>
        <w:rPr>
          <w:rFonts w:ascii="XO Thames" w:hAnsi="XO Thames"/>
          <w:sz w:val="24"/>
        </w:rPr>
      </w:pPr>
    </w:p>
    <w:tbl>
      <w:tblPr>
        <w:tblStyle w:val="Style_1"/>
        <w:tblW w:type="auto" w:w="0"/>
        <w:jc w:val="center"/>
        <w:tblInd w:type="dxa" w:w="0"/>
        <w:tblLayout w:type="fixed"/>
      </w:tblPr>
      <w:tblGrid>
        <w:gridCol w:w="2154"/>
        <w:gridCol w:w="2154"/>
        <w:gridCol w:w="2154"/>
        <w:gridCol w:w="2154"/>
        <w:gridCol w:w="2154"/>
        <w:gridCol w:w="2154"/>
        <w:gridCol w:w="2154"/>
      </w:tblGrid>
      <w:tr>
        <w:tc>
          <w:tcPr>
            <w:tcW w:type="dxa" w:w="12924"/>
            <w:gridSpan w:val="6"/>
          </w:tcPr>
          <w:p w14:paraId="05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Удовлетворенность населения, процент от числа </w:t>
            </w:r>
            <w:r>
              <w:rPr>
                <w:rFonts w:ascii="XO Thames" w:hAnsi="XO Thames"/>
                <w:sz w:val="24"/>
              </w:rPr>
              <w:t>опрошенных</w:t>
            </w:r>
            <w:r>
              <w:rPr>
                <w:rFonts w:ascii="XO Thames" w:hAnsi="XO Thames"/>
                <w:sz w:val="24"/>
              </w:rPr>
              <w:t>,</w:t>
            </w:r>
          </w:p>
        </w:tc>
        <w:tc>
          <w:tcPr>
            <w:tcW w:type="dxa" w:w="2154"/>
            <w:vMerge w:val="restart"/>
          </w:tcPr>
          <w:p w14:paraId="06000000">
            <w:pPr>
              <w:ind w:firstLine="0" w:left="-113" w:right="-113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Количество респондентов, человек</w:t>
            </w:r>
          </w:p>
        </w:tc>
      </w:tr>
      <w:tr>
        <w:tc>
          <w:tcPr>
            <w:tcW w:type="dxa" w:w="2154"/>
            <w:vMerge w:val="restart"/>
          </w:tcPr>
          <w:p w14:paraId="07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качеством автомобильных дорог</w:t>
            </w:r>
          </w:p>
        </w:tc>
        <w:tc>
          <w:tcPr>
            <w:tcW w:type="dxa" w:w="2154"/>
            <w:vMerge w:val="restart"/>
          </w:tcPr>
          <w:p w14:paraId="08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организацией транспортного обслуживания</w:t>
            </w:r>
          </w:p>
        </w:tc>
        <w:tc>
          <w:tcPr>
            <w:tcW w:type="dxa" w:w="8616"/>
            <w:gridSpan w:val="4"/>
          </w:tcPr>
          <w:p w14:paraId="09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жилищно-коммунальными услугами, в том числе</w:t>
            </w:r>
          </w:p>
        </w:tc>
        <w:tc>
          <w:tcPr>
            <w:tcW w:type="dxa" w:w="2154"/>
            <w:gridSpan w:val="1"/>
            <w:vMerge w:val="continue"/>
          </w:tcPr>
          <w:p/>
        </w:tc>
      </w:tr>
      <w:tr>
        <w:tc>
          <w:tcPr>
            <w:tcW w:type="dxa" w:w="2154"/>
            <w:gridSpan w:val="1"/>
            <w:vMerge w:val="continue"/>
          </w:tcPr>
          <w:p/>
        </w:tc>
        <w:tc>
          <w:tcPr>
            <w:tcW w:type="dxa" w:w="2154"/>
            <w:gridSpan w:val="1"/>
            <w:vMerge w:val="continue"/>
          </w:tcPr>
          <w:p/>
        </w:tc>
        <w:tc>
          <w:tcPr>
            <w:tcW w:type="dxa" w:w="2154"/>
          </w:tcPr>
          <w:p w14:paraId="0A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организацией теплоснабжения (снабжением топливом)</w:t>
            </w:r>
          </w:p>
        </w:tc>
        <w:tc>
          <w:tcPr>
            <w:tcW w:type="dxa" w:w="2154"/>
          </w:tcPr>
          <w:p w14:paraId="0B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организацией водоснабжения (водоотведения)</w:t>
            </w:r>
          </w:p>
        </w:tc>
        <w:tc>
          <w:tcPr>
            <w:tcW w:type="dxa" w:w="2154"/>
          </w:tcPr>
          <w:p w14:paraId="0C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организацией </w:t>
            </w:r>
            <w:r>
              <w:rPr>
                <w:rFonts w:ascii="XO Thames" w:hAnsi="XO Thames"/>
                <w:sz w:val="24"/>
              </w:rPr>
              <w:t>электроснабже-ния</w:t>
            </w:r>
          </w:p>
        </w:tc>
        <w:tc>
          <w:tcPr>
            <w:tcW w:type="dxa" w:w="2154"/>
          </w:tcPr>
          <w:p w14:paraId="0D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организацией газоснабжения</w:t>
            </w:r>
          </w:p>
        </w:tc>
        <w:tc>
          <w:tcPr>
            <w:tcW w:type="dxa" w:w="2154"/>
            <w:gridSpan w:val="1"/>
            <w:vMerge w:val="continue"/>
          </w:tcPr>
          <w:p/>
        </w:tc>
      </w:tr>
      <w:tr>
        <w:tc>
          <w:tcPr>
            <w:tcW w:type="dxa" w:w="2154"/>
            <w:shd w:fill="auto" w:val="clear"/>
            <w:vAlign w:val="center"/>
          </w:tcPr>
          <w:p w14:paraId="0E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91,01</w:t>
            </w:r>
          </w:p>
        </w:tc>
        <w:tc>
          <w:tcPr>
            <w:tcW w:type="dxa" w:w="2154"/>
            <w:shd w:fill="auto" w:val="clear"/>
            <w:vAlign w:val="center"/>
          </w:tcPr>
          <w:p w14:paraId="0F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92,89</w:t>
            </w:r>
          </w:p>
        </w:tc>
        <w:tc>
          <w:tcPr>
            <w:tcW w:type="dxa" w:w="2154"/>
            <w:shd w:fill="auto" w:val="clear"/>
            <w:vAlign w:val="center"/>
          </w:tcPr>
          <w:p w14:paraId="10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96,07</w:t>
            </w:r>
          </w:p>
        </w:tc>
        <w:tc>
          <w:tcPr>
            <w:tcW w:type="dxa" w:w="2154"/>
            <w:shd w:fill="auto" w:val="clear"/>
            <w:vAlign w:val="center"/>
          </w:tcPr>
          <w:p w14:paraId="11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90,31</w:t>
            </w:r>
          </w:p>
        </w:tc>
        <w:tc>
          <w:tcPr>
            <w:tcW w:type="dxa" w:w="2154"/>
            <w:shd w:fill="auto" w:val="clear"/>
            <w:vAlign w:val="center"/>
          </w:tcPr>
          <w:p w14:paraId="12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98,17</w:t>
            </w:r>
          </w:p>
        </w:tc>
        <w:tc>
          <w:tcPr>
            <w:tcW w:type="dxa" w:w="2154"/>
            <w:shd w:fill="auto" w:val="clear"/>
            <w:vAlign w:val="center"/>
          </w:tcPr>
          <w:p w14:paraId="13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91,43</w:t>
            </w:r>
          </w:p>
        </w:tc>
        <w:tc>
          <w:tcPr>
            <w:tcW w:type="dxa" w:w="2154"/>
            <w:shd w:fill="auto" w:val="clear"/>
            <w:vAlign w:val="center"/>
          </w:tcPr>
          <w:p w14:paraId="14000000">
            <w:pPr>
              <w:ind w:right="461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   712</w:t>
            </w:r>
          </w:p>
        </w:tc>
      </w:tr>
    </w:tbl>
    <w:p w14:paraId="15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16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1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8000000">
      <w:pPr>
        <w:rPr>
          <w:rFonts w:ascii="Times New Roman" w:hAnsi="Times New Roman"/>
          <w:sz w:val="28"/>
        </w:rPr>
      </w:pPr>
    </w:p>
    <w:p w14:paraId="19000000">
      <w:pPr>
        <w:rPr>
          <w:rFonts w:ascii="Times New Roman" w:hAnsi="Times New Roman"/>
          <w:sz w:val="28"/>
        </w:rPr>
      </w:pPr>
    </w:p>
    <w:p w14:paraId="1A000000">
      <w:pPr>
        <w:tabs>
          <w:tab w:leader="none" w:pos="7036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sectPr>
      <w:pgSz w:h="11906" w:orient="landscape" w:w="16838"/>
      <w:pgMar w:bottom="851" w:footer="709" w:gutter="0" w:header="709" w:left="992" w:right="395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7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Balloon Text"/>
    <w:basedOn w:val="Style_2"/>
    <w:link w:val="Style_19_ch"/>
    <w:pPr>
      <w:spacing w:after="0" w:line="240" w:lineRule="auto"/>
      <w:ind/>
    </w:pPr>
    <w:rPr>
      <w:rFonts w:ascii="Tahoma" w:hAnsi="Tahoma"/>
      <w:sz w:val="16"/>
    </w:rPr>
  </w:style>
  <w:style w:styleId="Style_19_ch" w:type="character">
    <w:name w:val="Balloon Text"/>
    <w:basedOn w:val="Style_2_ch"/>
    <w:link w:val="Style_19"/>
    <w:rPr>
      <w:rFonts w:ascii="Tahoma" w:hAnsi="Tahoma"/>
      <w:sz w:val="16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5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2026-01-27T03:15:21Z</dcterms:modified>
</cp:coreProperties>
</file>